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59" w:rsidRDefault="003C58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Techno India NJR Institute of Technology</w:t>
      </w:r>
    </w:p>
    <w:p w:rsidR="00100959" w:rsidRDefault="001009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3C58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78" cy="138251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3C58B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Course File</w:t>
      </w:r>
    </w:p>
    <w:p w:rsidR="00100959" w:rsidRDefault="003C58B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Session 2021-22</w:t>
      </w:r>
    </w:p>
    <w:p w:rsidR="00100959" w:rsidRDefault="003C58B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Electromagnetic Fields (3EE4-08)</w:t>
      </w: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8B0" w:rsidRDefault="002E075F" w:rsidP="003C58B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Payal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Paliwal</w:t>
      </w:r>
      <w:proofErr w:type="spellEnd"/>
    </w:p>
    <w:p w:rsidR="003C58B0" w:rsidRDefault="003C58B0" w:rsidP="003C58B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(Assistant Professor)</w:t>
      </w:r>
    </w:p>
    <w:p w:rsidR="00100959" w:rsidRDefault="003C58B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ECE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0959" w:rsidRDefault="003C58B0">
      <w:pPr>
        <w:spacing w:after="0"/>
        <w:ind w:left="-45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65217" cy="7792119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217" cy="7792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100959" w:rsidRDefault="003C58B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Course Overview:</w:t>
      </w:r>
    </w:p>
    <w:p w:rsidR="00100959" w:rsidRDefault="003C58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will learn fundamentals of Electromagnetic waves from this 28-hour course. In this course, student will study the fundamental concepts and application of electromagnetic radiations. Also, they will study vector calculus, coordinate systems,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maxwell’s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equation and fundamentals of waveguide and antennas.</w:t>
      </w:r>
    </w:p>
    <w:p w:rsidR="00100959" w:rsidRDefault="003C58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Outcomes: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8"/>
        <w:gridCol w:w="1895"/>
        <w:gridCol w:w="6553"/>
      </w:tblGrid>
      <w:tr w:rsidR="00100959">
        <w:trPr>
          <w:cantSplit/>
          <w:trHeight w:val="548"/>
          <w:tblHeader/>
        </w:trPr>
        <w:tc>
          <w:tcPr>
            <w:tcW w:w="1128" w:type="dxa"/>
            <w:vAlign w:val="center"/>
          </w:tcPr>
          <w:p w:rsidR="00100959" w:rsidRDefault="003C58B0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1895" w:type="dxa"/>
            <w:vAlign w:val="center"/>
          </w:tcPr>
          <w:p w:rsidR="00100959" w:rsidRDefault="003C5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100959" w:rsidRDefault="003C5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135E33">
        <w:trPr>
          <w:cantSplit/>
          <w:tblHeader/>
        </w:trPr>
        <w:tc>
          <w:tcPr>
            <w:tcW w:w="1128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895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  <w:vAlign w:val="bottom"/>
          </w:tcPr>
          <w:p w:rsidR="00135E33" w:rsidRDefault="00135E33" w:rsidP="00962F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Define and recognize different co‐ordinate systems to describe the spatial variations of the    physical quantities.</w:t>
            </w:r>
          </w:p>
        </w:tc>
      </w:tr>
      <w:tr w:rsidR="00135E33">
        <w:trPr>
          <w:cantSplit/>
          <w:tblHeader/>
        </w:trPr>
        <w:tc>
          <w:tcPr>
            <w:tcW w:w="1128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1895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553" w:type="dxa"/>
            <w:vAlign w:val="bottom"/>
          </w:tcPr>
          <w:p w:rsidR="00135E33" w:rsidRDefault="00135E33" w:rsidP="00962F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Analyze fundamental laws governing electromagnetic fields and evaluate the physical quantities of electromagnetic fields.</w:t>
            </w:r>
          </w:p>
        </w:tc>
      </w:tr>
      <w:tr w:rsidR="00135E33">
        <w:trPr>
          <w:cantSplit/>
          <w:tblHeader/>
        </w:trPr>
        <w:tc>
          <w:tcPr>
            <w:tcW w:w="1128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895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bottom"/>
          </w:tcPr>
          <w:p w:rsidR="00135E33" w:rsidRDefault="00135E33" w:rsidP="00962F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Student </w:t>
            </w:r>
            <w:proofErr w:type="gramStart"/>
            <w:r>
              <w:rPr>
                <w:rFonts w:eastAsia="Calibri"/>
                <w:color w:val="000000"/>
              </w:rPr>
              <w:t>learn  to</w:t>
            </w:r>
            <w:proofErr w:type="gramEnd"/>
            <w:r>
              <w:rPr>
                <w:rFonts w:eastAsia="Calibri"/>
                <w:color w:val="000000"/>
              </w:rPr>
              <w:t xml:space="preserve"> Maxwell’s equations apply electromagnetic theory to solve problems primarily in physics and electrical engineering.</w:t>
            </w:r>
          </w:p>
        </w:tc>
      </w:tr>
      <w:tr w:rsidR="00135E33">
        <w:trPr>
          <w:cantSplit/>
          <w:tblHeader/>
        </w:trPr>
        <w:tc>
          <w:tcPr>
            <w:tcW w:w="1128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895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135E33" w:rsidRDefault="00135E33" w:rsidP="00962F7D">
            <w:pPr>
              <w:jc w:val="both"/>
              <w:rPr>
                <w:rFonts w:eastAsia="Calibri"/>
                <w:color w:val="000000"/>
              </w:rPr>
            </w:pPr>
            <w:r>
              <w:t xml:space="preserve">To synthesis time varying fields, propagation of electromagnetic waves in different media, </w:t>
            </w:r>
            <w:proofErr w:type="spellStart"/>
            <w:r>
              <w:t>pyonting</w:t>
            </w:r>
            <w:proofErr w:type="spellEnd"/>
            <w:r>
              <w:t xml:space="preserve"> theorem, their sources &amp; effects and to apply the theory of electromagnetic waves in practical problems.</w:t>
            </w:r>
          </w:p>
        </w:tc>
      </w:tr>
      <w:tr w:rsidR="00135E33">
        <w:trPr>
          <w:cantSplit/>
          <w:tblHeader/>
        </w:trPr>
        <w:tc>
          <w:tcPr>
            <w:tcW w:w="1128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1895" w:type="dxa"/>
            <w:vAlign w:val="center"/>
          </w:tcPr>
          <w:p w:rsidR="00135E33" w:rsidRDefault="00135E33" w:rsidP="00962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33">
              <w:rPr>
                <w:bCs/>
              </w:rPr>
              <w:t>Evaluation</w:t>
            </w:r>
          </w:p>
        </w:tc>
        <w:tc>
          <w:tcPr>
            <w:tcW w:w="6553" w:type="dxa"/>
            <w:vAlign w:val="bottom"/>
          </w:tcPr>
          <w:p w:rsidR="00135E33" w:rsidRDefault="00135E33" w:rsidP="00962F7D">
            <w:pPr>
              <w:jc w:val="both"/>
              <w:rPr>
                <w:rFonts w:eastAsia="Calibri"/>
                <w:color w:val="000000"/>
              </w:rPr>
            </w:pPr>
            <w:r>
              <w:t xml:space="preserve">To evaluate electric field and magnetic filed in space using </w:t>
            </w:r>
            <w:proofErr w:type="spellStart"/>
            <w:r w:rsidRPr="00692C79">
              <w:t>gaussian</w:t>
            </w:r>
            <w:proofErr w:type="spellEnd"/>
            <w:r w:rsidRPr="00692C79">
              <w:t xml:space="preserve"> </w:t>
            </w:r>
            <w:proofErr w:type="gramStart"/>
            <w:r w:rsidRPr="00692C79">
              <w:t>theorem</w:t>
            </w:r>
            <w:r>
              <w:t xml:space="preserve"> ,</w:t>
            </w:r>
            <w:proofErr w:type="gramEnd"/>
            <w:r>
              <w:t xml:space="preserve"> amperes laws</w:t>
            </w:r>
            <w:r w:rsidR="00BD61C3">
              <w:t xml:space="preserve">, </w:t>
            </w:r>
            <w:proofErr w:type="spellStart"/>
            <w:r w:rsidR="00BD61C3">
              <w:t>maxwells</w:t>
            </w:r>
            <w:proofErr w:type="spellEnd"/>
            <w:r w:rsidR="00BD61C3">
              <w:t xml:space="preserve"> equation</w:t>
            </w:r>
            <w:r>
              <w:t xml:space="preserve"> .</w:t>
            </w:r>
          </w:p>
        </w:tc>
      </w:tr>
    </w:tbl>
    <w:p w:rsidR="00100959" w:rsidRDefault="00100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3C5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Prerequisites:</w:t>
      </w:r>
    </w:p>
    <w:p w:rsidR="00100959" w:rsidRDefault="003C5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Fundamentals of various orthogonal coordinate systems.</w:t>
      </w:r>
    </w:p>
    <w:p w:rsidR="00100959" w:rsidRDefault="003C5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Must have completed the course on electrostatics and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magnetostatics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00959" w:rsidRDefault="003C5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Student should be able to solve the problems of vector calculus.</w:t>
      </w:r>
    </w:p>
    <w:p w:rsidR="00100959" w:rsidRDefault="0010095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59" w:rsidRDefault="003C58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Outcome Mapping with Program Outcome:</w:t>
      </w: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100959">
        <w:trPr>
          <w:cantSplit/>
          <w:trHeight w:val="557"/>
          <w:tblHeader/>
        </w:trPr>
        <w:tc>
          <w:tcPr>
            <w:tcW w:w="1548" w:type="dxa"/>
          </w:tcPr>
          <w:p w:rsidR="00100959" w:rsidRDefault="003C5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Outcomes (PO’s)</w:t>
            </w:r>
          </w:p>
        </w:tc>
      </w:tr>
      <w:tr w:rsidR="00100959">
        <w:trPr>
          <w:cantSplit/>
          <w:trHeight w:val="545"/>
          <w:tblHeader/>
        </w:trPr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/>
            </w:tcBorders>
            <w:vAlign w:val="center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/>
            </w:tcBorders>
            <w:vAlign w:val="center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Domain Independent </w:t>
            </w:r>
          </w:p>
        </w:tc>
      </w:tr>
      <w:tr w:rsidR="00100959">
        <w:trPr>
          <w:cantSplit/>
          <w:trHeight w:val="261"/>
          <w:tblHeader/>
        </w:trPr>
        <w:tc>
          <w:tcPr>
            <w:tcW w:w="1548" w:type="dxa"/>
            <w:shd w:val="clear" w:color="auto" w:fill="D9D9D9"/>
          </w:tcPr>
          <w:p w:rsidR="00100959" w:rsidRDefault="00100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00959" w:rsidRDefault="003C58B0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D16E59">
        <w:trPr>
          <w:cantSplit/>
          <w:trHeight w:val="255"/>
          <w:tblHeader/>
        </w:trPr>
        <w:tc>
          <w:tcPr>
            <w:tcW w:w="1548" w:type="dxa"/>
          </w:tcPr>
          <w:p w:rsidR="00D16E59" w:rsidRDefault="00D16E59" w:rsidP="00962F7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16E59">
        <w:trPr>
          <w:cantSplit/>
          <w:trHeight w:val="255"/>
          <w:tblHeader/>
        </w:trPr>
        <w:tc>
          <w:tcPr>
            <w:tcW w:w="1548" w:type="dxa"/>
          </w:tcPr>
          <w:p w:rsidR="00D16E59" w:rsidRDefault="00D16E59" w:rsidP="00962F7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16E59">
        <w:trPr>
          <w:cantSplit/>
          <w:trHeight w:val="255"/>
          <w:tblHeader/>
        </w:trPr>
        <w:tc>
          <w:tcPr>
            <w:tcW w:w="1548" w:type="dxa"/>
          </w:tcPr>
          <w:p w:rsidR="00D16E59" w:rsidRDefault="00D16E59" w:rsidP="00962F7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16E59">
        <w:trPr>
          <w:cantSplit/>
          <w:trHeight w:val="255"/>
          <w:tblHeader/>
        </w:trPr>
        <w:tc>
          <w:tcPr>
            <w:tcW w:w="1548" w:type="dxa"/>
          </w:tcPr>
          <w:p w:rsidR="00D16E59" w:rsidRDefault="00D16E59" w:rsidP="00962F7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16E59">
        <w:trPr>
          <w:cantSplit/>
          <w:trHeight w:val="255"/>
          <w:tblHeader/>
        </w:trPr>
        <w:tc>
          <w:tcPr>
            <w:tcW w:w="1548" w:type="dxa"/>
          </w:tcPr>
          <w:p w:rsidR="00D16E59" w:rsidRDefault="00D16E59" w:rsidP="00962F7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E59" w:rsidRDefault="00D16E59" w:rsidP="00962F7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16E59">
        <w:trPr>
          <w:cantSplit/>
          <w:trHeight w:val="284"/>
          <w:tblHeader/>
        </w:trPr>
        <w:tc>
          <w:tcPr>
            <w:tcW w:w="9738" w:type="dxa"/>
            <w:gridSpan w:val="13"/>
          </w:tcPr>
          <w:p w:rsidR="00D16E59" w:rsidRDefault="00D1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Slight (Low) , 2: Moderate (Medium), 3: Substantial (High) </w:t>
            </w:r>
          </w:p>
        </w:tc>
      </w:tr>
    </w:tbl>
    <w:p w:rsidR="00100959" w:rsidRDefault="00100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F71" w:rsidRDefault="00C30F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F71" w:rsidRDefault="00C30F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59" w:rsidRDefault="003C58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Coverage Module Wise:</w:t>
      </w:r>
    </w:p>
    <w:tbl>
      <w:tblPr>
        <w:tblStyle w:val="a1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3"/>
        <w:gridCol w:w="857"/>
        <w:gridCol w:w="7046"/>
      </w:tblGrid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3C5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857" w:type="dxa"/>
          </w:tcPr>
          <w:p w:rsidR="00100959" w:rsidRDefault="003C5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7046" w:type="dxa"/>
          </w:tcPr>
          <w:p w:rsidR="00100959" w:rsidRDefault="003C5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100959" w:rsidRDefault="003C58B0">
            <w:pPr>
              <w:spacing w:line="276" w:lineRule="auto"/>
              <w:ind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Review of Vector Calculus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Vector algebra- addition, subtraction, components of vectors, scalar and vector multiplications, triple products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Three orthogonal coordinate system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(rectangular, cylindrical and spherical). Vector calculus, differentiation, partial differentiation, integration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Vector operator del, gradient, divergence and curl; integral theorems of vectors. Conversion of a vector from one coordinate system to another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00959" w:rsidRDefault="003C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Static Electric Field:</w:t>
            </w:r>
          </w:p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Coulomb’s law, Electric field intensity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Electrical field due to point charges. Line, Surface and Volume charge distributions, Gauss law and its applications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Absolute Electric potential, Potential difference, Calculation of potential differences for different configurations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Electric dipole, Electrostatic Energy and Energy density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100959" w:rsidRDefault="003C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Conductors, Dielectrics and Capacitance:</w:t>
            </w:r>
          </w:p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Current and current density, Ohms Law in Point form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Continuity of current, Boundary conditions of perfect dielectric materials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Permittivity of dielectric materials, Capacitance, Capacitance of a two wire line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Poisson’s equation, Laplace’s equation, Solution of Laplace and Poisson’s equation, Application of Laplace’s and Poisson’s equations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100959" w:rsidRDefault="003C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Static Magnetic Fields:</w:t>
            </w:r>
          </w:p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Biot-Savart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 Law, Ampere Law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Magnetic flux and magnetic flux density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Scalar and Vector Magnetic potentials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Steady magnetic fields produced by current carrying conductors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100959" w:rsidRDefault="003C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Magnetic Forces, Materials and Inductance:</w:t>
            </w:r>
          </w:p>
          <w:p w:rsidR="00100959" w:rsidRDefault="003C58B0">
            <w:pP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Force on a moving charge, Force on a differential current element, Force</w:t>
            </w:r>
          </w:p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between differential current elements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Nature of magnetic materials, Magnetization and permeability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Magnetic boundary conditions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Magnetic circuits, inductances and mutual inductances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Time Varying Fields and Maxwell’s Equations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Faraday’s law for Electromagnetic induction, Displacement current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Point form of Maxwell’s equation, Integral form of Maxwell’s equations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Motional Electromotive forces. Boundary Conditions.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100959" w:rsidRDefault="003C58B0">
            <w:pP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2"/>
                <w:sz w:val="24"/>
                <w:szCs w:val="24"/>
              </w:rPr>
              <w:t>Electromagnetic Waves:</w:t>
            </w:r>
          </w:p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Derivation of Wave Equation, Uniform Plane Waves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Maxwell’s equation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Phasor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 form, Wave equation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Phasor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 form, Plane waves in free space and in a homogenous material.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Wave equation for a conducting medium, Plane waves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lossy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 dielectrics</w:t>
            </w:r>
          </w:p>
        </w:tc>
      </w:tr>
      <w:tr w:rsidR="00100959">
        <w:trPr>
          <w:cantSplit/>
          <w:tblHeader/>
          <w:jc w:val="center"/>
        </w:trPr>
        <w:tc>
          <w:tcPr>
            <w:tcW w:w="1673" w:type="dxa"/>
          </w:tcPr>
          <w:p w:rsidR="00100959" w:rsidRDefault="001009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100959" w:rsidRDefault="003C5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100959" w:rsidRDefault="003C58B0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Propagation in good conductors, Skin effect,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Poynting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 xml:space="preserve"> theorem</w:t>
            </w:r>
          </w:p>
        </w:tc>
      </w:tr>
    </w:tbl>
    <w:p w:rsidR="00100959" w:rsidRDefault="00100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59" w:rsidRDefault="0010095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0959" w:rsidRDefault="003C58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TEXT/REFERENCE BOOKS</w:t>
      </w:r>
    </w:p>
    <w:p w:rsidR="00100959" w:rsidRDefault="003C58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Electromagnetic Field Theory,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Oxford.</w:t>
      </w:r>
    </w:p>
    <w:p w:rsidR="00100959" w:rsidRDefault="003C58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Principles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Electromagnetics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Mahapatra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TMH.</w:t>
      </w:r>
    </w:p>
    <w:p w:rsidR="00100959" w:rsidRDefault="003C58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Electromagnetic Field Theory and Transmission Lines,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Wiley</w:t>
      </w:r>
    </w:p>
    <w:p w:rsidR="00100959" w:rsidRDefault="003C58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and Learning resources:</w:t>
      </w:r>
    </w:p>
    <w:p w:rsidR="00100959" w:rsidRDefault="003C58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MOOC (NPTEL):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https://nptel.ac.in/courses/117/101/117101056/</w:t>
      </w:r>
    </w:p>
    <w:p w:rsidR="00100959" w:rsidRDefault="003C5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100959" w:rsidRDefault="003C58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Assessment Methodology:</w:t>
      </w:r>
    </w:p>
    <w:p w:rsidR="00100959" w:rsidRDefault="003C58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 exam using lab instruments. </w:t>
      </w:r>
    </w:p>
    <w:p w:rsidR="00100959" w:rsidRDefault="003C58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Midterm exams where student have to showcase subjective learning.</w:t>
      </w:r>
    </w:p>
    <w:p w:rsidR="00100959" w:rsidRDefault="003C58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 Exam (subjective paper) at the end of the semester. </w:t>
      </w:r>
    </w:p>
    <w:p w:rsidR="00100959" w:rsidRDefault="003C58B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85485" cy="82296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822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0959" w:rsidRDefault="003C58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6229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0959" w:rsidRDefault="003C58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07142" cy="5999484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7142" cy="5999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00959" w:rsidSect="001009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F98"/>
    <w:multiLevelType w:val="multilevel"/>
    <w:tmpl w:val="097E9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672A"/>
    <w:multiLevelType w:val="multilevel"/>
    <w:tmpl w:val="B80AC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49BA"/>
    <w:multiLevelType w:val="multilevel"/>
    <w:tmpl w:val="68F63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8FC2ED9"/>
    <w:multiLevelType w:val="multilevel"/>
    <w:tmpl w:val="0C5EB07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00959"/>
    <w:rsid w:val="000A0A2E"/>
    <w:rsid w:val="00100959"/>
    <w:rsid w:val="00135E33"/>
    <w:rsid w:val="002E075F"/>
    <w:rsid w:val="003C58B0"/>
    <w:rsid w:val="004C3633"/>
    <w:rsid w:val="00982FC1"/>
    <w:rsid w:val="00BD61C3"/>
    <w:rsid w:val="00C30F71"/>
    <w:rsid w:val="00D16E59"/>
    <w:rsid w:val="00F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</w:rPr>
  </w:style>
  <w:style w:type="paragraph" w:styleId="Heading1">
    <w:name w:val="heading 1"/>
    <w:basedOn w:val="normal0"/>
    <w:next w:val="normal0"/>
    <w:rsid w:val="001009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009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009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009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009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009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0959"/>
  </w:style>
  <w:style w:type="paragraph" w:styleId="Title">
    <w:name w:val="Title"/>
    <w:basedOn w:val="normal0"/>
    <w:next w:val="normal0"/>
    <w:rsid w:val="00100959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92A"/>
    <w:rPr>
      <w:color w:val="605E5C"/>
      <w:shd w:val="clear" w:color="auto" w:fill="E1DFDD"/>
    </w:rPr>
  </w:style>
  <w:style w:type="paragraph" w:customStyle="1" w:styleId="Default">
    <w:name w:val="Default"/>
    <w:rsid w:val="00FC29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ubtitle">
    <w:name w:val="Subtitle"/>
    <w:basedOn w:val="Normal"/>
    <w:next w:val="Normal"/>
    <w:rsid w:val="001009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09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009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009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7+4qyK5d+2MJQu/juwHz4RjKQ==">AMUW2mV0SEfS/zh/mvdcbUaMVGQiALx1taM02deLz9KIEB3rxRVMO22Pb9524SC/1lKYc/sQ/zqa+BLwcUQeGkq6c87UcrekGZuJgYzD1GESfl2D4g7I0ZY=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16</cp:revision>
  <dcterms:created xsi:type="dcterms:W3CDTF">2021-07-30T13:09:00Z</dcterms:created>
  <dcterms:modified xsi:type="dcterms:W3CDTF">2022-10-12T08:41:00Z</dcterms:modified>
</cp:coreProperties>
</file>