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E20892" w:rsidRDefault="00E20892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E20892" w:rsidRDefault="00E20892" w:rsidP="004C23C7">
      <w:pPr>
        <w:rPr>
          <w:rFonts w:ascii="Times New Roman" w:hAnsi="Times New Roman" w:cs="Times New Roman"/>
          <w:b/>
        </w:rPr>
      </w:pPr>
    </w:p>
    <w:p w:rsidR="00E20892" w:rsidRPr="005D0030" w:rsidRDefault="00E20892" w:rsidP="00E20892">
      <w:pPr>
        <w:jc w:val="right"/>
        <w:rPr>
          <w:sz w:val="24"/>
          <w:lang w:val="en-IN"/>
        </w:rPr>
      </w:pPr>
      <w:r>
        <w:rPr>
          <w:rFonts w:ascii="Times New Roman" w:hAnsi="Times New Roman" w:cs="Times New Roman"/>
        </w:rPr>
        <w:tab/>
      </w:r>
      <w:r w:rsidR="00C501B8">
        <w:rPr>
          <w:sz w:val="24"/>
          <w:lang w:val="en-IN"/>
        </w:rPr>
        <w:t>Date: 5</w:t>
      </w:r>
      <w:r w:rsidR="00692F41">
        <w:rPr>
          <w:sz w:val="24"/>
          <w:lang w:val="en-IN"/>
        </w:rPr>
        <w:t xml:space="preserve"> July</w:t>
      </w:r>
      <w:r w:rsidR="00C501B8">
        <w:rPr>
          <w:sz w:val="24"/>
          <w:lang w:val="en-IN"/>
        </w:rPr>
        <w:t>, 2024</w:t>
      </w:r>
    </w:p>
    <w:p w:rsidR="00E20892" w:rsidRDefault="00E20892" w:rsidP="00E20892">
      <w:pPr>
        <w:jc w:val="center"/>
        <w:rPr>
          <w:b/>
          <w:sz w:val="32"/>
          <w:lang w:val="en-IN"/>
        </w:rPr>
      </w:pPr>
      <w:r w:rsidRPr="005D0030">
        <w:rPr>
          <w:b/>
          <w:sz w:val="32"/>
          <w:lang w:val="en-IN"/>
        </w:rPr>
        <w:t>TO WHOMSOEVER IT MAY CONCERN</w:t>
      </w:r>
    </w:p>
    <w:p w:rsidR="00E20892" w:rsidRDefault="00E20892" w:rsidP="00E2089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This is to declare that although there is formal MoU signed by </w:t>
      </w:r>
      <w:r w:rsidR="003C25BA">
        <w:rPr>
          <w:rFonts w:eastAsia="Times New Roman" w:cstheme="minorHAnsi"/>
          <w:color w:val="000000"/>
          <w:sz w:val="24"/>
          <w:szCs w:val="24"/>
        </w:rPr>
        <w:t>the institute</w:t>
      </w:r>
      <w:r>
        <w:rPr>
          <w:rFonts w:eastAsia="Times New Roman" w:cstheme="minorHAnsi"/>
          <w:color w:val="000000"/>
          <w:sz w:val="24"/>
          <w:szCs w:val="24"/>
        </w:rPr>
        <w:t xml:space="preserve"> with the below listed companies, but as per the attached email confirmations the companies agreed to provide internship to the selected students.</w:t>
      </w:r>
    </w:p>
    <w:p w:rsidR="00E20892" w:rsidRPr="00D17233" w:rsidRDefault="00E20892" w:rsidP="00E2089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E20892" w:rsidRDefault="00E20892" w:rsidP="00E20892">
      <w:pPr>
        <w:jc w:val="both"/>
        <w:rPr>
          <w:rFonts w:cstheme="minorHAnsi"/>
          <w:sz w:val="24"/>
          <w:lang w:val="en-IN"/>
        </w:rPr>
      </w:pPr>
      <w:r>
        <w:rPr>
          <w:rFonts w:cstheme="minorHAnsi"/>
          <w:sz w:val="24"/>
          <w:lang w:val="en-IN"/>
        </w:rPr>
        <w:t>Foll</w:t>
      </w:r>
      <w:r w:rsidR="00522639">
        <w:rPr>
          <w:rFonts w:cstheme="minorHAnsi"/>
          <w:sz w:val="24"/>
          <w:lang w:val="en-IN"/>
        </w:rPr>
        <w:t xml:space="preserve">owing is the list of the </w:t>
      </w:r>
      <w:r>
        <w:rPr>
          <w:rFonts w:cstheme="minorHAnsi"/>
          <w:sz w:val="24"/>
          <w:lang w:val="en-IN"/>
        </w:rPr>
        <w:t>MoUs attached.</w:t>
      </w:r>
    </w:p>
    <w:tbl>
      <w:tblPr>
        <w:tblStyle w:val="TableGrid"/>
        <w:tblW w:w="0" w:type="auto"/>
        <w:jc w:val="center"/>
        <w:tblLook w:val="04A0"/>
      </w:tblPr>
      <w:tblGrid>
        <w:gridCol w:w="922"/>
        <w:gridCol w:w="5462"/>
      </w:tblGrid>
      <w:tr w:rsidR="00E20892" w:rsidTr="00635360">
        <w:trPr>
          <w:jc w:val="center"/>
        </w:trPr>
        <w:tc>
          <w:tcPr>
            <w:tcW w:w="92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S. No.</w:t>
            </w:r>
          </w:p>
        </w:tc>
        <w:tc>
          <w:tcPr>
            <w:tcW w:w="546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Name of Collaboration Institute /Industry</w:t>
            </w:r>
          </w:p>
        </w:tc>
      </w:tr>
      <w:tr w:rsidR="00E20892" w:rsidTr="00635360">
        <w:trPr>
          <w:jc w:val="center"/>
        </w:trPr>
        <w:tc>
          <w:tcPr>
            <w:tcW w:w="92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1</w:t>
            </w:r>
          </w:p>
        </w:tc>
        <w:tc>
          <w:tcPr>
            <w:tcW w:w="5462" w:type="dxa"/>
          </w:tcPr>
          <w:p w:rsidR="00E20892" w:rsidRPr="00635360" w:rsidRDefault="00C501B8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 w:rsidRPr="00C501B8">
              <w:rPr>
                <w:rFonts w:cstheme="minorHAnsi"/>
                <w:sz w:val="24"/>
                <w:lang w:val="en-IN"/>
              </w:rPr>
              <w:t>Cenetric</w:t>
            </w:r>
          </w:p>
        </w:tc>
      </w:tr>
      <w:tr w:rsidR="00E20892" w:rsidTr="00635360">
        <w:trPr>
          <w:jc w:val="center"/>
        </w:trPr>
        <w:tc>
          <w:tcPr>
            <w:tcW w:w="92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2</w:t>
            </w:r>
          </w:p>
        </w:tc>
        <w:tc>
          <w:tcPr>
            <w:tcW w:w="5462" w:type="dxa"/>
          </w:tcPr>
          <w:p w:rsidR="00E20892" w:rsidRDefault="00C501B8" w:rsidP="00635360">
            <w:pPr>
              <w:tabs>
                <w:tab w:val="left" w:pos="4207"/>
              </w:tabs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College</w:t>
            </w:r>
            <w:r w:rsidR="00C02652">
              <w:rPr>
                <w:rFonts w:cstheme="minorHAnsi"/>
                <w:sz w:val="24"/>
                <w:lang w:val="en-IN"/>
              </w:rPr>
              <w:t xml:space="preserve"> D</w:t>
            </w:r>
            <w:r>
              <w:rPr>
                <w:rFonts w:cstheme="minorHAnsi"/>
                <w:sz w:val="24"/>
                <w:lang w:val="en-IN"/>
              </w:rPr>
              <w:t>unia</w:t>
            </w:r>
          </w:p>
        </w:tc>
      </w:tr>
      <w:tr w:rsidR="00E20892" w:rsidTr="00635360">
        <w:trPr>
          <w:jc w:val="center"/>
        </w:trPr>
        <w:tc>
          <w:tcPr>
            <w:tcW w:w="92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3</w:t>
            </w:r>
          </w:p>
        </w:tc>
        <w:tc>
          <w:tcPr>
            <w:tcW w:w="5462" w:type="dxa"/>
          </w:tcPr>
          <w:p w:rsidR="00E20892" w:rsidRPr="00635360" w:rsidRDefault="00C501B8" w:rsidP="00635360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Entrepreneurship Cell, IIT Karagpur</w:t>
            </w:r>
          </w:p>
        </w:tc>
      </w:tr>
      <w:tr w:rsidR="00E20892" w:rsidTr="00635360">
        <w:trPr>
          <w:jc w:val="center"/>
        </w:trPr>
        <w:tc>
          <w:tcPr>
            <w:tcW w:w="922" w:type="dxa"/>
          </w:tcPr>
          <w:p w:rsidR="00E20892" w:rsidRDefault="00E20892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4</w:t>
            </w:r>
          </w:p>
        </w:tc>
        <w:tc>
          <w:tcPr>
            <w:tcW w:w="5462" w:type="dxa"/>
          </w:tcPr>
          <w:p w:rsidR="00E20892" w:rsidRPr="00635360" w:rsidRDefault="00C501B8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Paccific Institute of Medical Sciences</w:t>
            </w:r>
          </w:p>
        </w:tc>
      </w:tr>
      <w:tr w:rsidR="00692F41" w:rsidTr="00635360">
        <w:trPr>
          <w:jc w:val="center"/>
        </w:trPr>
        <w:tc>
          <w:tcPr>
            <w:tcW w:w="922" w:type="dxa"/>
          </w:tcPr>
          <w:p w:rsidR="00692F41" w:rsidRDefault="00692F41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5</w:t>
            </w:r>
          </w:p>
        </w:tc>
        <w:tc>
          <w:tcPr>
            <w:tcW w:w="5462" w:type="dxa"/>
          </w:tcPr>
          <w:p w:rsidR="00692F41" w:rsidRDefault="00C501B8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 xml:space="preserve">GHH India Minig and Tunnelling Equipment Private Limited </w:t>
            </w:r>
          </w:p>
        </w:tc>
      </w:tr>
      <w:tr w:rsidR="00692F41" w:rsidTr="00635360">
        <w:trPr>
          <w:jc w:val="center"/>
        </w:trPr>
        <w:tc>
          <w:tcPr>
            <w:tcW w:w="922" w:type="dxa"/>
          </w:tcPr>
          <w:p w:rsidR="00692F41" w:rsidRDefault="00692F41" w:rsidP="00CE0996">
            <w:pPr>
              <w:jc w:val="both"/>
              <w:rPr>
                <w:rFonts w:cstheme="minorHAnsi"/>
                <w:sz w:val="24"/>
                <w:lang w:val="en-IN"/>
              </w:rPr>
            </w:pPr>
            <w:r>
              <w:rPr>
                <w:rFonts w:cstheme="minorHAnsi"/>
                <w:sz w:val="24"/>
                <w:lang w:val="en-IN"/>
              </w:rPr>
              <w:t>6</w:t>
            </w:r>
          </w:p>
        </w:tc>
        <w:tc>
          <w:tcPr>
            <w:tcW w:w="5462" w:type="dxa"/>
          </w:tcPr>
          <w:p w:rsidR="00692F41" w:rsidRPr="000F4BE8" w:rsidRDefault="00C501B8" w:rsidP="00CE0996">
            <w:pPr>
              <w:jc w:val="both"/>
              <w:rPr>
                <w:rFonts w:ascii="CIDFont+F2" w:hAnsi="CIDFont+F2" w:cs="CIDFont+F2"/>
                <w:lang w:val="en-IN"/>
              </w:rPr>
            </w:pPr>
            <w:r w:rsidRPr="000F4BE8">
              <w:rPr>
                <w:rFonts w:ascii="CIDFont+F2" w:hAnsi="CIDFont+F2" w:cs="CIDFont+F2"/>
                <w:lang w:val="en-IN"/>
              </w:rPr>
              <w:t xml:space="preserve">Secure Meters Limited </w:t>
            </w:r>
          </w:p>
        </w:tc>
      </w:tr>
    </w:tbl>
    <w:p w:rsidR="00E20892" w:rsidRPr="00D17233" w:rsidRDefault="00E20892" w:rsidP="00E20892">
      <w:pPr>
        <w:jc w:val="both"/>
        <w:rPr>
          <w:rFonts w:cstheme="minorHAnsi"/>
          <w:sz w:val="24"/>
          <w:lang w:val="en-IN"/>
        </w:rPr>
      </w:pPr>
    </w:p>
    <w:p w:rsidR="00E20892" w:rsidRDefault="00E20892" w:rsidP="00E20892"/>
    <w:p w:rsidR="007978BD" w:rsidRPr="00E20892" w:rsidRDefault="006870D2" w:rsidP="006870D2">
      <w:pPr>
        <w:tabs>
          <w:tab w:val="left" w:pos="3268"/>
        </w:tabs>
        <w:jc w:val="right"/>
        <w:rPr>
          <w:rFonts w:ascii="Times New Roman" w:hAnsi="Times New Roman" w:cs="Times New Roman"/>
        </w:rPr>
      </w:pPr>
      <w:r w:rsidRPr="006870D2">
        <w:rPr>
          <w:rFonts w:ascii="Times New Roman" w:hAnsi="Times New Roman" w:cs="Times New Roman"/>
        </w:rPr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8BD" w:rsidRPr="00E20892" w:rsidSect="00D27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FB" w:rsidRDefault="00B771FB" w:rsidP="00EA4049">
      <w:pPr>
        <w:spacing w:after="0" w:line="240" w:lineRule="auto"/>
      </w:pPr>
      <w:r>
        <w:separator/>
      </w:r>
    </w:p>
  </w:endnote>
  <w:endnote w:type="continuationSeparator" w:id="1">
    <w:p w:rsidR="00B771FB" w:rsidRDefault="00B771FB" w:rsidP="00EA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FB" w:rsidRDefault="00B771FB" w:rsidP="00EA4049">
      <w:pPr>
        <w:spacing w:after="0" w:line="240" w:lineRule="auto"/>
      </w:pPr>
      <w:r>
        <w:separator/>
      </w:r>
    </w:p>
  </w:footnote>
  <w:footnote w:type="continuationSeparator" w:id="1">
    <w:p w:rsidR="00B771FB" w:rsidRDefault="00B771FB" w:rsidP="00EA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49" w:rsidRDefault="00EA4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86782"/>
    <w:rsid w:val="000B0F82"/>
    <w:rsid w:val="000C5D3A"/>
    <w:rsid w:val="000F4BE8"/>
    <w:rsid w:val="00132865"/>
    <w:rsid w:val="001578AD"/>
    <w:rsid w:val="00171752"/>
    <w:rsid w:val="001A4977"/>
    <w:rsid w:val="001C3998"/>
    <w:rsid w:val="002E73D8"/>
    <w:rsid w:val="00396FBE"/>
    <w:rsid w:val="003C25BA"/>
    <w:rsid w:val="003F53F7"/>
    <w:rsid w:val="00415E76"/>
    <w:rsid w:val="004C23C7"/>
    <w:rsid w:val="004E4594"/>
    <w:rsid w:val="00522639"/>
    <w:rsid w:val="005B2794"/>
    <w:rsid w:val="006005E1"/>
    <w:rsid w:val="00605AF2"/>
    <w:rsid w:val="00633C7B"/>
    <w:rsid w:val="00635360"/>
    <w:rsid w:val="00647D58"/>
    <w:rsid w:val="00680148"/>
    <w:rsid w:val="006870D2"/>
    <w:rsid w:val="00692F41"/>
    <w:rsid w:val="0078077D"/>
    <w:rsid w:val="007917B7"/>
    <w:rsid w:val="007978BD"/>
    <w:rsid w:val="007C4982"/>
    <w:rsid w:val="00806846"/>
    <w:rsid w:val="00822628"/>
    <w:rsid w:val="00867022"/>
    <w:rsid w:val="008C4B75"/>
    <w:rsid w:val="00945D76"/>
    <w:rsid w:val="00A02D19"/>
    <w:rsid w:val="00A46E4E"/>
    <w:rsid w:val="00A47D79"/>
    <w:rsid w:val="00AB387A"/>
    <w:rsid w:val="00AC00B9"/>
    <w:rsid w:val="00B53A88"/>
    <w:rsid w:val="00B771FB"/>
    <w:rsid w:val="00BA2565"/>
    <w:rsid w:val="00BE4D6B"/>
    <w:rsid w:val="00BF4283"/>
    <w:rsid w:val="00C02652"/>
    <w:rsid w:val="00C17C79"/>
    <w:rsid w:val="00C501B8"/>
    <w:rsid w:val="00C631D3"/>
    <w:rsid w:val="00CC1F4E"/>
    <w:rsid w:val="00CF17C1"/>
    <w:rsid w:val="00D241E2"/>
    <w:rsid w:val="00D27EAE"/>
    <w:rsid w:val="00D761AA"/>
    <w:rsid w:val="00D872E7"/>
    <w:rsid w:val="00DF1233"/>
    <w:rsid w:val="00E1534F"/>
    <w:rsid w:val="00E162C6"/>
    <w:rsid w:val="00E20892"/>
    <w:rsid w:val="00EA4049"/>
    <w:rsid w:val="00ED4679"/>
    <w:rsid w:val="00EE152D"/>
    <w:rsid w:val="00F12D29"/>
    <w:rsid w:val="00F426C5"/>
    <w:rsid w:val="00F66828"/>
    <w:rsid w:val="00F7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049"/>
  </w:style>
  <w:style w:type="paragraph" w:styleId="Footer">
    <w:name w:val="footer"/>
    <w:basedOn w:val="Normal"/>
    <w:link w:val="FooterChar"/>
    <w:uiPriority w:val="99"/>
    <w:unhideWhenUsed/>
    <w:rsid w:val="00EA4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44</cp:revision>
  <cp:lastPrinted>2021-05-06T10:22:00Z</cp:lastPrinted>
  <dcterms:created xsi:type="dcterms:W3CDTF">2021-05-07T05:01:00Z</dcterms:created>
  <dcterms:modified xsi:type="dcterms:W3CDTF">2024-11-26T08:13:00Z</dcterms:modified>
</cp:coreProperties>
</file>