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C5" w:rsidRDefault="00054DC5" w:rsidP="00054DC5">
      <w:pPr>
        <w:pStyle w:val="Heading1"/>
        <w:tabs>
          <w:tab w:val="left" w:pos="5479"/>
        </w:tabs>
        <w:spacing w:before="60"/>
        <w:jc w:val="center"/>
        <w:rPr>
          <w:sz w:val="40"/>
          <w:szCs w:val="40"/>
        </w:rPr>
      </w:pPr>
      <w:r w:rsidRPr="00054DC5">
        <w:rPr>
          <w:sz w:val="40"/>
          <w:szCs w:val="40"/>
        </w:rPr>
        <w:t>Facilities for the Management of Degradable and Non-degradable Waste</w:t>
      </w:r>
      <w:r>
        <w:rPr>
          <w:sz w:val="40"/>
          <w:szCs w:val="40"/>
        </w:rPr>
        <w:t xml:space="preserve"> in Techno India NJR Institute of Technology</w:t>
      </w:r>
    </w:p>
    <w:p w:rsidR="00054DC5" w:rsidRDefault="00054DC5" w:rsidP="00054DC5">
      <w:pPr>
        <w:pStyle w:val="Heading1"/>
        <w:tabs>
          <w:tab w:val="left" w:pos="5479"/>
        </w:tabs>
        <w:spacing w:before="60"/>
        <w:jc w:val="center"/>
        <w:rPr>
          <w:sz w:val="40"/>
          <w:szCs w:val="40"/>
        </w:rPr>
      </w:pPr>
    </w:p>
    <w:p w:rsidR="00054DC5" w:rsidRDefault="00054DC5" w:rsidP="00054DC5">
      <w:pPr>
        <w:pStyle w:val="Heading1"/>
        <w:numPr>
          <w:ilvl w:val="0"/>
          <w:numId w:val="6"/>
        </w:numPr>
        <w:tabs>
          <w:tab w:val="left" w:pos="5479"/>
        </w:tabs>
        <w:spacing w:before="60"/>
      </w:pPr>
      <w:r>
        <w:t>Solid Waste Management</w:t>
      </w:r>
    </w:p>
    <w:p w:rsidR="00054DC5" w:rsidRPr="00C510D5" w:rsidRDefault="00054DC5" w:rsidP="00054DC5">
      <w:pPr>
        <w:pStyle w:val="Heading1"/>
        <w:tabs>
          <w:tab w:val="left" w:pos="5479"/>
        </w:tabs>
        <w:spacing w:before="60"/>
      </w:pPr>
    </w:p>
    <w:p w:rsidR="00054DC5" w:rsidRDefault="00054DC5" w:rsidP="00054DC5">
      <w:pPr>
        <w:pStyle w:val="BodyText"/>
        <w:spacing w:before="1" w:line="360" w:lineRule="auto"/>
        <w:ind w:left="140" w:right="192"/>
        <w:jc w:val="both"/>
      </w:pPr>
      <w:r>
        <w:t>This Institute</w:t>
      </w:r>
      <w:r w:rsidRPr="000037FB">
        <w:t xml:space="preserve"> has to ensure that all the campus wastes are disposed of responsibly by using proper waste segregation mechanism at the source and</w:t>
      </w:r>
      <w:r>
        <w:t>,</w:t>
      </w:r>
      <w:r w:rsidRPr="000037FB">
        <w:t xml:space="preserve"> if possible, converting it into </w:t>
      </w:r>
      <w:r>
        <w:t xml:space="preserve">a </w:t>
      </w:r>
      <w:r w:rsidRPr="000037FB">
        <w:t>value</w:t>
      </w:r>
      <w:r>
        <w:t>-</w:t>
      </w:r>
      <w:r w:rsidRPr="000037FB">
        <w:t>added environment</w:t>
      </w:r>
      <w:r>
        <w:t>ally</w:t>
      </w:r>
      <w:r w:rsidRPr="000037FB">
        <w:t xml:space="preserve"> friendly product.</w:t>
      </w:r>
      <w:r>
        <w:t xml:space="preserve"> </w:t>
      </w:r>
    </w:p>
    <w:p w:rsidR="00054DC5" w:rsidRDefault="00054DC5" w:rsidP="00054DC5">
      <w:pPr>
        <w:pStyle w:val="BodyText"/>
        <w:spacing w:line="360" w:lineRule="auto"/>
        <w:ind w:left="140" w:right="137"/>
        <w:jc w:val="both"/>
      </w:pPr>
      <w:r>
        <w:t>The Campus has</w:t>
      </w:r>
      <w:r w:rsidRPr="000037FB">
        <w:t xml:space="preserve"> adopt</w:t>
      </w:r>
      <w:r>
        <w:t>ed</w:t>
      </w:r>
      <w:r w:rsidRPr="000037FB">
        <w:t xml:space="preserve"> the principles of the ‘best practicable environmental option’ </w:t>
      </w:r>
      <w:r>
        <w:t>to deliver</w:t>
      </w:r>
      <w:r w:rsidRPr="000037FB">
        <w:t xml:space="preserve"> its waste manageme</w:t>
      </w:r>
      <w:r>
        <w:t>nt services. The Campus</w:t>
      </w:r>
      <w:r w:rsidRPr="000037FB">
        <w:t xml:space="preserve"> applies a ‘waste hierarchical approach’</w:t>
      </w:r>
      <w:r>
        <w:t xml:space="preserve"> to reduce, reuse, recycle, and recover waste products in preference to waste disposal</w:t>
      </w:r>
      <w:r w:rsidRPr="000037FB">
        <w:t xml:space="preserve"> to landfill.</w:t>
      </w:r>
      <w:r>
        <w:t xml:space="preserve"> Figure 1 shows a schematic diagram of solid waste management of the Campus.</w:t>
      </w:r>
    </w:p>
    <w:p w:rsidR="00054DC5" w:rsidRDefault="00054DC5" w:rsidP="00054DC5">
      <w:pPr>
        <w:pStyle w:val="Heading1"/>
        <w:tabs>
          <w:tab w:val="left" w:pos="860"/>
        </w:tabs>
        <w:ind w:left="380"/>
        <w:jc w:val="right"/>
      </w:pPr>
    </w:p>
    <w:p w:rsidR="009D5B6C" w:rsidRDefault="009D5B6C" w:rsidP="00054DC5">
      <w:pPr>
        <w:pStyle w:val="Heading1"/>
        <w:tabs>
          <w:tab w:val="left" w:pos="860"/>
        </w:tabs>
        <w:ind w:left="380"/>
        <w:jc w:val="right"/>
      </w:pPr>
    </w:p>
    <w:p w:rsidR="00054DC5" w:rsidRDefault="00054DC5" w:rsidP="00054DC5">
      <w:pPr>
        <w:pStyle w:val="Heading1"/>
        <w:tabs>
          <w:tab w:val="left" w:pos="860"/>
        </w:tabs>
        <w:ind w:left="380"/>
        <w:jc w:val="right"/>
      </w:pPr>
    </w:p>
    <w:p w:rsidR="00054DC5" w:rsidRDefault="00A67258" w:rsidP="00054DC5">
      <w:pPr>
        <w:pStyle w:val="Heading1"/>
        <w:tabs>
          <w:tab w:val="left" w:pos="860"/>
        </w:tabs>
        <w:ind w:left="380"/>
        <w:jc w:val="right"/>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93.35pt;margin-top:11.45pt;width:.8pt;height:17pt;z-index:251666432" o:connectortype="straight">
            <v:stroke endarrow="block"/>
          </v:shape>
        </w:pict>
      </w:r>
      <w:r>
        <w:rPr>
          <w:noProof/>
        </w:rPr>
        <w:pict>
          <v:rect id="_x0000_s1026" style="position:absolute;left:0;text-align:left;margin-left:140.75pt;margin-top:-13.6pt;width:103.55pt;height:25.05pt;z-index:251660288">
            <v:textbox style="mso-next-textbox:#_x0000_s1026">
              <w:txbxContent>
                <w:p w:rsidR="00054DC5" w:rsidRDefault="00054DC5" w:rsidP="00054DC5">
                  <w:pPr>
                    <w:jc w:val="center"/>
                  </w:pPr>
                  <w:r>
                    <w:t>Waste Generation</w:t>
                  </w:r>
                </w:p>
              </w:txbxContent>
            </v:textbox>
          </v:rect>
        </w:pict>
      </w:r>
    </w:p>
    <w:p w:rsidR="00054DC5" w:rsidRDefault="00054DC5" w:rsidP="00054DC5">
      <w:pPr>
        <w:pStyle w:val="Heading1"/>
        <w:tabs>
          <w:tab w:val="left" w:pos="860"/>
        </w:tabs>
        <w:ind w:left="380"/>
        <w:jc w:val="right"/>
      </w:pPr>
    </w:p>
    <w:p w:rsidR="00054DC5" w:rsidRDefault="00A67258" w:rsidP="00054DC5">
      <w:pPr>
        <w:pStyle w:val="Heading1"/>
        <w:tabs>
          <w:tab w:val="left" w:pos="860"/>
        </w:tabs>
        <w:ind w:left="380"/>
        <w:jc w:val="right"/>
      </w:pPr>
      <w:r>
        <w:rPr>
          <w:noProof/>
        </w:rPr>
        <w:pict>
          <v:rect id="_x0000_s1027" style="position:absolute;left:0;text-align:left;margin-left:144.8pt;margin-top:.85pt;width:107.6pt;height:49.35pt;z-index:251661312">
            <v:textbox style="mso-next-textbox:#_x0000_s1027">
              <w:txbxContent>
                <w:p w:rsidR="00054DC5" w:rsidRDefault="00054DC5" w:rsidP="00054DC5">
                  <w:pPr>
                    <w:jc w:val="center"/>
                  </w:pPr>
                  <w:r>
                    <w:t>Waste handing, separation, storage, processing at the source</w:t>
                  </w:r>
                </w:p>
              </w:txbxContent>
            </v:textbox>
          </v:rect>
        </w:pict>
      </w:r>
    </w:p>
    <w:p w:rsidR="00054DC5" w:rsidRDefault="00054DC5" w:rsidP="00054DC5">
      <w:pPr>
        <w:pStyle w:val="Heading1"/>
        <w:tabs>
          <w:tab w:val="left" w:pos="860"/>
        </w:tabs>
        <w:ind w:left="380"/>
        <w:jc w:val="right"/>
      </w:pPr>
    </w:p>
    <w:p w:rsidR="00054DC5" w:rsidRDefault="00054DC5" w:rsidP="00054DC5">
      <w:pPr>
        <w:pStyle w:val="Heading1"/>
        <w:tabs>
          <w:tab w:val="left" w:pos="860"/>
        </w:tabs>
        <w:ind w:left="380"/>
        <w:jc w:val="right"/>
      </w:pPr>
    </w:p>
    <w:p w:rsidR="00054DC5" w:rsidRDefault="00A67258" w:rsidP="00054DC5">
      <w:pPr>
        <w:pStyle w:val="Heading1"/>
        <w:tabs>
          <w:tab w:val="left" w:pos="860"/>
        </w:tabs>
        <w:ind w:left="380"/>
        <w:jc w:val="right"/>
      </w:pPr>
      <w:r>
        <w:rPr>
          <w:noProof/>
        </w:rPr>
        <w:pict>
          <v:shape id="_x0000_s1033" type="#_x0000_t32" style="position:absolute;left:0;text-align:left;margin-left:194.15pt;margin-top:8.8pt;width:0;height:21.05pt;z-index:251667456" o:connectortype="straight">
            <v:stroke endarrow="block"/>
          </v:shape>
        </w:pict>
      </w:r>
    </w:p>
    <w:p w:rsidR="00054DC5" w:rsidRDefault="00054DC5" w:rsidP="00054DC5">
      <w:pPr>
        <w:pStyle w:val="Heading1"/>
        <w:tabs>
          <w:tab w:val="left" w:pos="860"/>
        </w:tabs>
        <w:ind w:left="380"/>
        <w:jc w:val="right"/>
      </w:pPr>
    </w:p>
    <w:p w:rsidR="00054DC5" w:rsidRDefault="00A67258" w:rsidP="00054DC5">
      <w:pPr>
        <w:pStyle w:val="Heading1"/>
        <w:tabs>
          <w:tab w:val="left" w:pos="860"/>
        </w:tabs>
        <w:ind w:left="380"/>
        <w:jc w:val="right"/>
      </w:pPr>
      <w:r>
        <w:rPr>
          <w:noProof/>
        </w:rPr>
        <w:pict>
          <v:rect id="_x0000_s1038" style="position:absolute;left:0;text-align:left;margin-left:410pt;margin-top:12.2pt;width:97.3pt;height:44.5pt;z-index:251672576">
            <v:textbox>
              <w:txbxContent>
                <w:p w:rsidR="00054DC5" w:rsidRDefault="00054DC5" w:rsidP="00054DC5">
                  <w:r>
                    <w:t>Vermicomposting for Biodegradable Waste</w:t>
                  </w:r>
                </w:p>
              </w:txbxContent>
            </v:textbox>
          </v:rect>
        </w:pict>
      </w:r>
      <w:r>
        <w:rPr>
          <w:noProof/>
        </w:rPr>
        <w:pict>
          <v:rect id="_x0000_s1028" style="position:absolute;left:0;text-align:left;margin-left:161pt;margin-top:2.25pt;width:67.15pt;height:24.25pt;z-index:251662336">
            <v:textbox style="mso-next-textbox:#_x0000_s1028">
              <w:txbxContent>
                <w:p w:rsidR="00054DC5" w:rsidRDefault="00054DC5" w:rsidP="00054DC5">
                  <w:r>
                    <w:t>Collection</w:t>
                  </w:r>
                </w:p>
              </w:txbxContent>
            </v:textbox>
          </v:rect>
        </w:pict>
      </w:r>
    </w:p>
    <w:p w:rsidR="00054DC5" w:rsidRDefault="00A67258" w:rsidP="00054DC5">
      <w:pPr>
        <w:pStyle w:val="Heading1"/>
        <w:tabs>
          <w:tab w:val="left" w:pos="860"/>
        </w:tabs>
        <w:ind w:left="380"/>
        <w:jc w:val="right"/>
      </w:pPr>
      <w:r>
        <w:rPr>
          <w:noProof/>
        </w:rPr>
        <w:pict>
          <v:rect id="_x0000_s1046" style="position:absolute;left:0;text-align:left;margin-left:-45.9pt;margin-top:3pt;width:82.3pt;height:91.3pt;z-index:251680768">
            <v:textbox style="mso-next-textbox:#_x0000_s1046">
              <w:txbxContent>
                <w:p w:rsidR="00054DC5" w:rsidRDefault="00054DC5" w:rsidP="00054DC5">
                  <w:r>
                    <w:t>Two trolleys and one pick up are available for the waste transportation</w:t>
                  </w:r>
                </w:p>
              </w:txbxContent>
            </v:textbox>
          </v:rect>
        </w:pict>
      </w:r>
      <w:r>
        <w:rPr>
          <w:noProof/>
        </w:rPr>
        <w:pict>
          <v:shape id="_x0000_s1035" type="#_x0000_t32" style="position:absolute;left:0;text-align:left;margin-left:228.15pt;margin-top:3pt;width:62.4pt;height:25.1pt;z-index:251669504" o:connectortype="straight">
            <v:stroke endarrow="block"/>
          </v:shape>
        </w:pict>
      </w:r>
      <w:r>
        <w:rPr>
          <w:noProof/>
        </w:rPr>
        <w:pict>
          <v:shape id="_x0000_s1036" type="#_x0000_t32" style="position:absolute;left:0;text-align:left;margin-left:193.35pt;margin-top:12.7pt;width:0;height:80.1pt;z-index:251670528" o:connectortype="straight">
            <v:stroke endarrow="block"/>
          </v:shape>
        </w:pict>
      </w:r>
      <w:r>
        <w:rPr>
          <w:noProof/>
        </w:rPr>
        <w:pict>
          <v:shape id="_x0000_s1034" type="#_x0000_t32" style="position:absolute;left:0;text-align:left;margin-left:85.75pt;margin-top:3pt;width:75.25pt;height:25.1pt;flip:x;z-index:251668480" o:connectortype="straight">
            <v:stroke endarrow="block"/>
          </v:shape>
        </w:pict>
      </w:r>
    </w:p>
    <w:p w:rsidR="00054DC5" w:rsidRDefault="00A67258" w:rsidP="00054DC5">
      <w:pPr>
        <w:pStyle w:val="Heading1"/>
        <w:tabs>
          <w:tab w:val="left" w:pos="860"/>
        </w:tabs>
        <w:ind w:left="380"/>
        <w:jc w:val="right"/>
      </w:pPr>
      <w:r>
        <w:rPr>
          <w:noProof/>
        </w:rPr>
        <w:pict>
          <v:shape id="_x0000_s1040" type="#_x0000_t32" style="position:absolute;left:0;text-align:left;margin-left:387.95pt;margin-top:5.55pt;width:17.8pt;height:23.55pt;flip:y;z-index:251674624" o:connectortype="straight">
            <v:stroke endarrow="block"/>
          </v:shape>
        </w:pict>
      </w:r>
    </w:p>
    <w:p w:rsidR="00054DC5" w:rsidRDefault="00A67258" w:rsidP="00054DC5">
      <w:pPr>
        <w:pStyle w:val="Heading1"/>
        <w:tabs>
          <w:tab w:val="left" w:pos="860"/>
        </w:tabs>
        <w:ind w:left="380"/>
        <w:jc w:val="right"/>
      </w:pPr>
      <w:r>
        <w:rPr>
          <w:noProof/>
        </w:rPr>
        <w:pict>
          <v:rect id="_x0000_s1030" style="position:absolute;left:0;text-align:left;margin-left:55.8pt;margin-top:.5pt;width:75.25pt;height:41.25pt;z-index:251664384">
            <v:textbox>
              <w:txbxContent>
                <w:p w:rsidR="00054DC5" w:rsidRDefault="00054DC5" w:rsidP="00054DC5">
                  <w:r>
                    <w:t>Transfer and transport</w:t>
                  </w:r>
                </w:p>
              </w:txbxContent>
            </v:textbox>
          </v:rect>
        </w:pict>
      </w:r>
      <w:r>
        <w:rPr>
          <w:noProof/>
        </w:rPr>
        <w:pict>
          <v:rect id="_x0000_s1029" style="position:absolute;left:0;text-align:left;margin-left:261.75pt;margin-top:.5pt;width:126.2pt;height:56.25pt;z-index:251663360">
            <v:textbox>
              <w:txbxContent>
                <w:p w:rsidR="00054DC5" w:rsidRDefault="00054DC5" w:rsidP="00054DC5">
                  <w:pPr>
                    <w:jc w:val="center"/>
                  </w:pPr>
                  <w:r>
                    <w:t>Separation and processing and transformation solid waste</w:t>
                  </w:r>
                </w:p>
              </w:txbxContent>
            </v:textbox>
          </v:rect>
        </w:pict>
      </w:r>
    </w:p>
    <w:p w:rsidR="00054DC5" w:rsidRDefault="00A67258" w:rsidP="00054DC5">
      <w:pPr>
        <w:pStyle w:val="Heading1"/>
        <w:tabs>
          <w:tab w:val="left" w:pos="860"/>
        </w:tabs>
        <w:ind w:left="380"/>
        <w:jc w:val="right"/>
      </w:pPr>
      <w:r>
        <w:rPr>
          <w:noProof/>
        </w:rPr>
        <w:pict>
          <v:shape id="_x0000_s1047" type="#_x0000_t32" style="position:absolute;left:0;text-align:left;margin-left:36.4pt;margin-top:6.1pt;width:19.4pt;height:0;flip:x;z-index:251681792" o:connectortype="straight">
            <v:stroke endarrow="block"/>
          </v:shape>
        </w:pict>
      </w:r>
      <w:r>
        <w:rPr>
          <w:noProof/>
        </w:rPr>
        <w:pict>
          <v:shape id="_x0000_s1037" type="#_x0000_t32" style="position:absolute;left:0;text-align:left;margin-left:131.05pt;margin-top:6.1pt;width:130.7pt;height:3.25pt;z-index:251671552" o:connectortype="straight">
            <v:stroke startarrow="block" endarrow="block"/>
          </v:shape>
        </w:pict>
      </w:r>
    </w:p>
    <w:p w:rsidR="00054DC5" w:rsidRDefault="00A67258" w:rsidP="00054DC5">
      <w:pPr>
        <w:pStyle w:val="Heading1"/>
        <w:tabs>
          <w:tab w:val="left" w:pos="860"/>
        </w:tabs>
        <w:ind w:left="380"/>
        <w:jc w:val="right"/>
      </w:pPr>
      <w:r>
        <w:rPr>
          <w:noProof/>
        </w:rPr>
        <w:pict>
          <v:rect id="_x0000_s1039" style="position:absolute;left:0;text-align:left;margin-left:405.75pt;margin-top:4.8pt;width:97.4pt;height:49.9pt;z-index:251673600">
            <v:textbox>
              <w:txbxContent>
                <w:p w:rsidR="00054DC5" w:rsidRDefault="00054DC5" w:rsidP="00054DC5">
                  <w:r>
                    <w:t>Plastic waste for using research in building materials</w:t>
                  </w:r>
                </w:p>
              </w:txbxContent>
            </v:textbox>
          </v:rect>
        </w:pict>
      </w:r>
      <w:r>
        <w:rPr>
          <w:noProof/>
        </w:rPr>
        <w:pict>
          <v:shape id="_x0000_s1041" type="#_x0000_t32" style="position:absolute;left:0;text-align:left;margin-left:387.95pt;margin-top:4.8pt;width:17.8pt;height:19.45pt;z-index:251675648" o:connectortype="straight">
            <v:stroke endarrow="block"/>
          </v:shape>
        </w:pict>
      </w:r>
    </w:p>
    <w:p w:rsidR="00054DC5" w:rsidRDefault="00054DC5" w:rsidP="00054DC5">
      <w:pPr>
        <w:pStyle w:val="Heading1"/>
        <w:tabs>
          <w:tab w:val="left" w:pos="860"/>
        </w:tabs>
        <w:ind w:left="380"/>
        <w:jc w:val="right"/>
      </w:pPr>
    </w:p>
    <w:p w:rsidR="00054DC5" w:rsidRDefault="00A67258" w:rsidP="00054DC5">
      <w:pPr>
        <w:pStyle w:val="Heading1"/>
        <w:tabs>
          <w:tab w:val="left" w:pos="860"/>
        </w:tabs>
        <w:ind w:left="380"/>
        <w:jc w:val="right"/>
      </w:pPr>
      <w:r>
        <w:rPr>
          <w:noProof/>
        </w:rPr>
        <w:pict>
          <v:rect id="_x0000_s1031" style="position:absolute;left:0;text-align:left;margin-left:161pt;margin-top:10pt;width:67.15pt;height:24.25pt;z-index:251665408">
            <v:textbox>
              <w:txbxContent>
                <w:p w:rsidR="00054DC5" w:rsidRDefault="00054DC5" w:rsidP="00054DC5">
                  <w:pPr>
                    <w:jc w:val="center"/>
                  </w:pPr>
                  <w:r>
                    <w:t xml:space="preserve">Disposal </w:t>
                  </w:r>
                </w:p>
              </w:txbxContent>
            </v:textbox>
          </v:rect>
        </w:pict>
      </w:r>
    </w:p>
    <w:p w:rsidR="00054DC5" w:rsidRDefault="00054DC5" w:rsidP="00054DC5">
      <w:pPr>
        <w:pStyle w:val="Heading1"/>
        <w:tabs>
          <w:tab w:val="left" w:pos="860"/>
        </w:tabs>
        <w:ind w:left="380"/>
        <w:jc w:val="right"/>
      </w:pPr>
    </w:p>
    <w:p w:rsidR="00054DC5" w:rsidRDefault="00A67258" w:rsidP="00054DC5">
      <w:pPr>
        <w:pStyle w:val="Heading1"/>
        <w:tabs>
          <w:tab w:val="left" w:pos="860"/>
        </w:tabs>
        <w:ind w:left="380"/>
        <w:jc w:val="right"/>
      </w:pPr>
      <w:r>
        <w:rPr>
          <w:noProof/>
        </w:rPr>
        <w:pict>
          <v:shape id="_x0000_s1045" type="#_x0000_t32" style="position:absolute;left:0;text-align:left;margin-left:188.4pt;margin-top:6.65pt;width:0;height:15.35pt;z-index:251679744" o:connectortype="straight">
            <v:stroke endarrow="block"/>
          </v:shape>
        </w:pict>
      </w:r>
    </w:p>
    <w:p w:rsidR="00054DC5" w:rsidRDefault="00A67258" w:rsidP="00054DC5">
      <w:pPr>
        <w:pStyle w:val="Heading1"/>
        <w:tabs>
          <w:tab w:val="left" w:pos="860"/>
        </w:tabs>
        <w:ind w:left="380"/>
        <w:jc w:val="right"/>
      </w:pPr>
      <w:r>
        <w:rPr>
          <w:noProof/>
        </w:rPr>
        <w:pict>
          <v:rect id="_x0000_s1043" style="position:absolute;left:0;text-align:left;margin-left:65.3pt;margin-top:8.2pt;width:264.1pt;height:25.4pt;z-index:251677696">
            <v:textbox>
              <w:txbxContent>
                <w:p w:rsidR="00054DC5" w:rsidRDefault="009E40B7" w:rsidP="00054DC5">
                  <w:r>
                    <w:t xml:space="preserve">E - Waste </w:t>
                  </w:r>
                  <w:r w:rsidR="00054DC5">
                    <w:t>Hazardous Waste to municipal co. of Udaipur</w:t>
                  </w:r>
                </w:p>
              </w:txbxContent>
            </v:textbox>
          </v:rect>
        </w:pict>
      </w:r>
    </w:p>
    <w:p w:rsidR="00054DC5" w:rsidRDefault="00054DC5" w:rsidP="00054DC5">
      <w:pPr>
        <w:pStyle w:val="Heading1"/>
        <w:tabs>
          <w:tab w:val="left" w:pos="860"/>
        </w:tabs>
        <w:ind w:left="380"/>
        <w:jc w:val="right"/>
      </w:pPr>
    </w:p>
    <w:p w:rsidR="00054DC5" w:rsidRDefault="00054DC5" w:rsidP="00054DC5">
      <w:pPr>
        <w:pStyle w:val="Heading1"/>
        <w:tabs>
          <w:tab w:val="left" w:pos="860"/>
        </w:tabs>
        <w:ind w:left="380"/>
        <w:jc w:val="right"/>
      </w:pPr>
    </w:p>
    <w:p w:rsidR="003563FA" w:rsidRDefault="003563FA" w:rsidP="00054DC5">
      <w:pPr>
        <w:pStyle w:val="Heading1"/>
        <w:tabs>
          <w:tab w:val="left" w:pos="860"/>
        </w:tabs>
        <w:ind w:left="380"/>
        <w:jc w:val="center"/>
        <w:rPr>
          <w:sz w:val="20"/>
          <w:szCs w:val="20"/>
        </w:rPr>
      </w:pPr>
    </w:p>
    <w:p w:rsidR="003563FA" w:rsidRDefault="003563FA" w:rsidP="00054DC5">
      <w:pPr>
        <w:pStyle w:val="Heading1"/>
        <w:tabs>
          <w:tab w:val="left" w:pos="860"/>
        </w:tabs>
        <w:ind w:left="380"/>
        <w:jc w:val="center"/>
        <w:rPr>
          <w:sz w:val="20"/>
          <w:szCs w:val="20"/>
        </w:rPr>
      </w:pPr>
    </w:p>
    <w:p w:rsidR="003563FA" w:rsidRDefault="003563FA" w:rsidP="00054DC5">
      <w:pPr>
        <w:pStyle w:val="Heading1"/>
        <w:tabs>
          <w:tab w:val="left" w:pos="860"/>
        </w:tabs>
        <w:ind w:left="380"/>
        <w:jc w:val="center"/>
        <w:rPr>
          <w:sz w:val="20"/>
          <w:szCs w:val="20"/>
        </w:rPr>
      </w:pPr>
    </w:p>
    <w:p w:rsidR="00054DC5" w:rsidRDefault="00054DC5" w:rsidP="00054DC5">
      <w:pPr>
        <w:pStyle w:val="Heading1"/>
        <w:tabs>
          <w:tab w:val="left" w:pos="860"/>
        </w:tabs>
        <w:ind w:left="380"/>
        <w:jc w:val="center"/>
        <w:rPr>
          <w:sz w:val="20"/>
          <w:szCs w:val="20"/>
        </w:rPr>
      </w:pPr>
      <w:r w:rsidRPr="00A269B5">
        <w:rPr>
          <w:sz w:val="20"/>
          <w:szCs w:val="20"/>
        </w:rPr>
        <w:t xml:space="preserve">Figure </w:t>
      </w:r>
      <w:r>
        <w:rPr>
          <w:sz w:val="20"/>
          <w:szCs w:val="20"/>
        </w:rPr>
        <w:t>1</w:t>
      </w:r>
      <w:r w:rsidRPr="00A269B5">
        <w:rPr>
          <w:sz w:val="20"/>
          <w:szCs w:val="20"/>
        </w:rPr>
        <w:t>: Interrelationships between the functional elements in Solid Waste Management</w:t>
      </w:r>
      <w:r>
        <w:rPr>
          <w:sz w:val="20"/>
          <w:szCs w:val="20"/>
        </w:rPr>
        <w:t xml:space="preserve"> in Campus</w:t>
      </w:r>
    </w:p>
    <w:p w:rsidR="00054DC5" w:rsidRDefault="00054DC5" w:rsidP="00054DC5">
      <w:pPr>
        <w:pStyle w:val="Heading1"/>
        <w:tabs>
          <w:tab w:val="left" w:pos="860"/>
        </w:tabs>
        <w:ind w:left="380"/>
        <w:jc w:val="center"/>
        <w:rPr>
          <w:sz w:val="20"/>
          <w:szCs w:val="20"/>
        </w:rPr>
      </w:pPr>
    </w:p>
    <w:p w:rsidR="00054DC5" w:rsidRDefault="00054DC5" w:rsidP="00054DC5">
      <w:pPr>
        <w:pStyle w:val="Heading1"/>
        <w:tabs>
          <w:tab w:val="left" w:pos="860"/>
        </w:tabs>
        <w:ind w:left="380"/>
        <w:jc w:val="center"/>
        <w:rPr>
          <w:sz w:val="20"/>
          <w:szCs w:val="20"/>
        </w:rPr>
      </w:pPr>
    </w:p>
    <w:p w:rsidR="00054DC5" w:rsidRDefault="00054DC5" w:rsidP="00054DC5">
      <w:pPr>
        <w:pStyle w:val="Heading1"/>
        <w:tabs>
          <w:tab w:val="left" w:pos="860"/>
        </w:tabs>
        <w:ind w:left="380"/>
        <w:jc w:val="center"/>
        <w:rPr>
          <w:sz w:val="20"/>
          <w:szCs w:val="20"/>
        </w:rPr>
      </w:pPr>
    </w:p>
    <w:p w:rsidR="00054DC5" w:rsidRDefault="00054DC5" w:rsidP="00054DC5">
      <w:pPr>
        <w:pStyle w:val="BodyText"/>
        <w:numPr>
          <w:ilvl w:val="0"/>
          <w:numId w:val="2"/>
        </w:numPr>
        <w:spacing w:line="360" w:lineRule="auto"/>
        <w:ind w:right="137"/>
      </w:pPr>
      <w:r>
        <w:lastRenderedPageBreak/>
        <w:t>Waste Segregation: Source segregation via separate bins as per the waste. Following color code is used for different types of wastage.</w:t>
      </w:r>
    </w:p>
    <w:p w:rsidR="009D5B6C" w:rsidRDefault="009D5B6C" w:rsidP="009D5B6C">
      <w:pPr>
        <w:pStyle w:val="BodyText"/>
        <w:numPr>
          <w:ilvl w:val="0"/>
          <w:numId w:val="7"/>
        </w:numPr>
        <w:spacing w:line="360" w:lineRule="auto"/>
        <w:ind w:right="137"/>
      </w:pPr>
      <w:r>
        <w:t>Green Bins: For biodegradable waste</w:t>
      </w:r>
    </w:p>
    <w:p w:rsidR="009D5B6C" w:rsidRDefault="009D5B6C" w:rsidP="009D5B6C">
      <w:pPr>
        <w:pStyle w:val="BodyText"/>
        <w:numPr>
          <w:ilvl w:val="0"/>
          <w:numId w:val="7"/>
        </w:numPr>
        <w:spacing w:line="360" w:lineRule="auto"/>
        <w:ind w:right="137"/>
      </w:pPr>
      <w:r>
        <w:t>Blue Bins: For plastics waste</w:t>
      </w:r>
    </w:p>
    <w:p w:rsidR="009D5B6C" w:rsidRDefault="009D5B6C" w:rsidP="009D5B6C">
      <w:pPr>
        <w:pStyle w:val="BodyText"/>
        <w:numPr>
          <w:ilvl w:val="0"/>
          <w:numId w:val="7"/>
        </w:numPr>
        <w:spacing w:line="360" w:lineRule="auto"/>
        <w:ind w:right="137"/>
      </w:pPr>
      <w:r>
        <w:t>Red Bins: Hazardous and Sanitary waste</w:t>
      </w:r>
    </w:p>
    <w:p w:rsidR="009D5B6C" w:rsidRDefault="009D5B6C" w:rsidP="009D5B6C">
      <w:pPr>
        <w:pStyle w:val="BodyText"/>
        <w:numPr>
          <w:ilvl w:val="0"/>
          <w:numId w:val="7"/>
        </w:numPr>
        <w:spacing w:line="360" w:lineRule="auto"/>
        <w:ind w:right="137"/>
      </w:pPr>
      <w:r>
        <w:t>Black Bins: For E-Waste</w:t>
      </w:r>
    </w:p>
    <w:p w:rsidR="00054DC5" w:rsidRDefault="00054DC5" w:rsidP="00054DC5">
      <w:pPr>
        <w:pStyle w:val="BodyText"/>
        <w:spacing w:line="360" w:lineRule="auto"/>
        <w:ind w:left="140" w:right="137"/>
        <w:jc w:val="center"/>
      </w:pPr>
    </w:p>
    <w:p w:rsidR="00054DC5" w:rsidRDefault="00054DC5" w:rsidP="00054DC5">
      <w:pPr>
        <w:pStyle w:val="BodyText"/>
        <w:numPr>
          <w:ilvl w:val="0"/>
          <w:numId w:val="3"/>
        </w:numPr>
        <w:spacing w:line="360" w:lineRule="auto"/>
        <w:ind w:right="4"/>
      </w:pPr>
      <w:r>
        <w:t xml:space="preserve"> Dimensions and 3d views of the collection and processing center on the colle</w:t>
      </w:r>
      <w:r w:rsidR="00FB3D4E">
        <w:t>ge campus are shown in Figures 2</w:t>
      </w:r>
      <w:r>
        <w:t xml:space="preserve"> and </w:t>
      </w:r>
      <w:r w:rsidR="00FB3D4E">
        <w:t>3</w:t>
      </w:r>
      <w:r>
        <w:t xml:space="preserve">.  </w:t>
      </w:r>
    </w:p>
    <w:p w:rsidR="00054DC5" w:rsidRDefault="00054DC5" w:rsidP="00054DC5">
      <w:pPr>
        <w:pStyle w:val="BodyText"/>
        <w:spacing w:line="360" w:lineRule="auto"/>
        <w:ind w:left="140" w:right="137"/>
        <w:jc w:val="center"/>
      </w:pPr>
      <w:r>
        <w:rPr>
          <w:noProof/>
        </w:rPr>
        <w:drawing>
          <wp:inline distT="0" distB="0" distL="0" distR="0">
            <wp:extent cx="4984465" cy="1739436"/>
            <wp:effectExtent l="19050" t="0" r="6635" b="0"/>
            <wp:docPr id="8" name="Picture 1" descr="C:\Users\91982\Downloads\IMG-2021010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982\Downloads\IMG-20210107-WA0006.jpg"/>
                    <pic:cNvPicPr>
                      <a:picLocks noChangeAspect="1" noChangeArrowheads="1"/>
                    </pic:cNvPicPr>
                  </pic:nvPicPr>
                  <pic:blipFill>
                    <a:blip r:embed="rId6"/>
                    <a:srcRect/>
                    <a:stretch>
                      <a:fillRect/>
                    </a:stretch>
                  </pic:blipFill>
                  <pic:spPr bwMode="auto">
                    <a:xfrm>
                      <a:off x="0" y="0"/>
                      <a:ext cx="4987889" cy="1740631"/>
                    </a:xfrm>
                    <a:prstGeom prst="rect">
                      <a:avLst/>
                    </a:prstGeom>
                    <a:noFill/>
                    <a:ln w="9525">
                      <a:noFill/>
                      <a:miter lim="800000"/>
                      <a:headEnd/>
                      <a:tailEnd/>
                    </a:ln>
                  </pic:spPr>
                </pic:pic>
              </a:graphicData>
            </a:graphic>
          </wp:inline>
        </w:drawing>
      </w:r>
    </w:p>
    <w:p w:rsidR="00054DC5" w:rsidRDefault="00054DC5" w:rsidP="00054DC5">
      <w:pPr>
        <w:pStyle w:val="BodyText"/>
        <w:spacing w:line="360" w:lineRule="auto"/>
        <w:ind w:left="140" w:right="137"/>
        <w:jc w:val="center"/>
        <w:rPr>
          <w:b/>
          <w:sz w:val="20"/>
          <w:szCs w:val="20"/>
        </w:rPr>
      </w:pPr>
      <w:r w:rsidRPr="009B1A49">
        <w:rPr>
          <w:b/>
          <w:sz w:val="20"/>
          <w:szCs w:val="20"/>
        </w:rPr>
        <w:t xml:space="preserve">Figure </w:t>
      </w:r>
      <w:r w:rsidR="00FB3D4E">
        <w:rPr>
          <w:b/>
          <w:sz w:val="20"/>
          <w:szCs w:val="20"/>
        </w:rPr>
        <w:t>2</w:t>
      </w:r>
      <w:r w:rsidRPr="009B1A49">
        <w:rPr>
          <w:b/>
          <w:sz w:val="20"/>
          <w:szCs w:val="20"/>
        </w:rPr>
        <w:t>: Area and Dimensions of Processing Center (Outer Dimensions in meter)</w:t>
      </w:r>
    </w:p>
    <w:p w:rsidR="00054DC5" w:rsidRDefault="00054DC5" w:rsidP="00054DC5">
      <w:pPr>
        <w:pStyle w:val="BodyText"/>
        <w:spacing w:line="360" w:lineRule="auto"/>
        <w:ind w:left="140" w:right="137"/>
        <w:jc w:val="center"/>
        <w:rPr>
          <w:b/>
          <w:sz w:val="20"/>
          <w:szCs w:val="20"/>
        </w:rPr>
      </w:pPr>
    </w:p>
    <w:p w:rsidR="00054DC5" w:rsidRPr="009B1A49" w:rsidRDefault="00054DC5" w:rsidP="00054DC5">
      <w:pPr>
        <w:pStyle w:val="BodyText"/>
        <w:spacing w:line="360" w:lineRule="auto"/>
        <w:ind w:left="-284" w:right="137"/>
        <w:rPr>
          <w:b/>
          <w:sz w:val="20"/>
          <w:szCs w:val="20"/>
        </w:rPr>
      </w:pPr>
      <w:r>
        <w:rPr>
          <w:b/>
          <w:noProof/>
          <w:sz w:val="20"/>
          <w:szCs w:val="20"/>
        </w:rPr>
        <w:drawing>
          <wp:inline distT="0" distB="0" distL="0" distR="0">
            <wp:extent cx="6555525" cy="2890344"/>
            <wp:effectExtent l="19050" t="0" r="0" b="0"/>
            <wp:docPr id="9" name="Picture 1" descr="C:\Users\91982\Downloads\IMG-20210112-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982\Downloads\IMG-20210112-WA0010.jpg"/>
                    <pic:cNvPicPr>
                      <a:picLocks noChangeAspect="1" noChangeArrowheads="1"/>
                    </pic:cNvPicPr>
                  </pic:nvPicPr>
                  <pic:blipFill>
                    <a:blip r:embed="rId7"/>
                    <a:srcRect/>
                    <a:stretch>
                      <a:fillRect/>
                    </a:stretch>
                  </pic:blipFill>
                  <pic:spPr bwMode="auto">
                    <a:xfrm>
                      <a:off x="0" y="0"/>
                      <a:ext cx="6567715" cy="2895719"/>
                    </a:xfrm>
                    <a:prstGeom prst="rect">
                      <a:avLst/>
                    </a:prstGeom>
                    <a:noFill/>
                    <a:ln w="9525">
                      <a:noFill/>
                      <a:miter lim="800000"/>
                      <a:headEnd/>
                      <a:tailEnd/>
                    </a:ln>
                  </pic:spPr>
                </pic:pic>
              </a:graphicData>
            </a:graphic>
          </wp:inline>
        </w:drawing>
      </w:r>
    </w:p>
    <w:p w:rsidR="00054DC5" w:rsidRDefault="00054DC5" w:rsidP="00054DC5">
      <w:pPr>
        <w:pStyle w:val="BodyText"/>
        <w:spacing w:line="360" w:lineRule="auto"/>
        <w:ind w:left="140" w:right="137"/>
        <w:jc w:val="center"/>
      </w:pPr>
    </w:p>
    <w:p w:rsidR="00054DC5" w:rsidRPr="00A269B5" w:rsidRDefault="00FB3D4E" w:rsidP="00054DC5">
      <w:pPr>
        <w:pStyle w:val="BodyText"/>
        <w:spacing w:line="360" w:lineRule="auto"/>
        <w:ind w:left="140" w:right="137"/>
        <w:jc w:val="center"/>
        <w:rPr>
          <w:b/>
          <w:sz w:val="20"/>
          <w:szCs w:val="20"/>
        </w:rPr>
      </w:pPr>
      <w:r>
        <w:rPr>
          <w:b/>
          <w:sz w:val="20"/>
          <w:szCs w:val="20"/>
        </w:rPr>
        <w:t>Figure 3</w:t>
      </w:r>
      <w:r w:rsidR="00054DC5" w:rsidRPr="00A269B5">
        <w:rPr>
          <w:b/>
          <w:sz w:val="20"/>
          <w:szCs w:val="20"/>
        </w:rPr>
        <w:t xml:space="preserve">: Processing Center for Waste at the Campus </w:t>
      </w:r>
    </w:p>
    <w:p w:rsidR="00054DC5" w:rsidRDefault="00054DC5" w:rsidP="00054DC5">
      <w:pPr>
        <w:pStyle w:val="BodyText"/>
        <w:spacing w:line="360" w:lineRule="auto"/>
        <w:ind w:left="140" w:right="137"/>
        <w:jc w:val="center"/>
      </w:pPr>
    </w:p>
    <w:p w:rsidR="00054DC5" w:rsidRPr="00A269B5" w:rsidRDefault="00054DC5" w:rsidP="00054DC5">
      <w:pPr>
        <w:pStyle w:val="Heading1"/>
        <w:tabs>
          <w:tab w:val="left" w:pos="860"/>
        </w:tabs>
        <w:ind w:left="380"/>
        <w:jc w:val="center"/>
        <w:rPr>
          <w:sz w:val="20"/>
          <w:szCs w:val="20"/>
        </w:rPr>
      </w:pPr>
    </w:p>
    <w:p w:rsidR="00054DC5" w:rsidRPr="00054DC5" w:rsidRDefault="00054DC5" w:rsidP="00054DC5">
      <w:pPr>
        <w:pStyle w:val="Heading1"/>
        <w:numPr>
          <w:ilvl w:val="0"/>
          <w:numId w:val="3"/>
        </w:numPr>
        <w:tabs>
          <w:tab w:val="left" w:pos="860"/>
        </w:tabs>
        <w:rPr>
          <w:b w:val="0"/>
        </w:rPr>
      </w:pPr>
      <w:r w:rsidRPr="00054DC5">
        <w:rPr>
          <w:b w:val="0"/>
        </w:rPr>
        <w:lastRenderedPageBreak/>
        <w:t>Management Staff</w:t>
      </w:r>
    </w:p>
    <w:p w:rsidR="00054DC5" w:rsidRPr="00054DC5" w:rsidRDefault="00054DC5" w:rsidP="00054DC5">
      <w:pPr>
        <w:pStyle w:val="Heading1"/>
        <w:numPr>
          <w:ilvl w:val="0"/>
          <w:numId w:val="4"/>
        </w:numPr>
        <w:tabs>
          <w:tab w:val="left" w:pos="860"/>
        </w:tabs>
        <w:spacing w:before="134"/>
        <w:jc w:val="both"/>
        <w:rPr>
          <w:b w:val="0"/>
        </w:rPr>
      </w:pPr>
      <w:r w:rsidRPr="00054DC5">
        <w:rPr>
          <w:b w:val="0"/>
        </w:rPr>
        <w:t xml:space="preserve"> Supervisor for the supervision of supporting staff.</w:t>
      </w:r>
    </w:p>
    <w:p w:rsidR="00054DC5" w:rsidRPr="00054DC5" w:rsidRDefault="00054DC5" w:rsidP="00054DC5">
      <w:pPr>
        <w:pStyle w:val="BodyText"/>
        <w:numPr>
          <w:ilvl w:val="0"/>
          <w:numId w:val="4"/>
        </w:numPr>
        <w:spacing w:line="360" w:lineRule="auto"/>
        <w:ind w:right="137"/>
      </w:pPr>
      <w:r w:rsidRPr="00054DC5">
        <w:t xml:space="preserve">Supporting staffs will be responsible for </w:t>
      </w:r>
    </w:p>
    <w:p w:rsidR="00054DC5" w:rsidRPr="00C15551" w:rsidRDefault="00054DC5" w:rsidP="00054DC5">
      <w:pPr>
        <w:pStyle w:val="BodyText"/>
        <w:numPr>
          <w:ilvl w:val="0"/>
          <w:numId w:val="5"/>
        </w:numPr>
        <w:spacing w:line="360" w:lineRule="auto"/>
        <w:ind w:right="137"/>
      </w:pPr>
      <w:r w:rsidRPr="00C15551">
        <w:t>Cleaning and separate the waste from each facility</w:t>
      </w:r>
    </w:p>
    <w:p w:rsidR="00054DC5" w:rsidRDefault="00054DC5" w:rsidP="00054DC5">
      <w:pPr>
        <w:pStyle w:val="BodyText"/>
        <w:numPr>
          <w:ilvl w:val="0"/>
          <w:numId w:val="5"/>
        </w:numPr>
        <w:spacing w:line="360" w:lineRule="auto"/>
        <w:ind w:right="137"/>
      </w:pPr>
      <w:r w:rsidRPr="00C15551">
        <w:t xml:space="preserve">Collection of separated waste </w:t>
      </w:r>
      <w:r>
        <w:t>from different colored bins</w:t>
      </w:r>
    </w:p>
    <w:p w:rsidR="00054DC5" w:rsidRDefault="00054DC5" w:rsidP="00054DC5">
      <w:pPr>
        <w:pStyle w:val="BodyText"/>
        <w:numPr>
          <w:ilvl w:val="0"/>
          <w:numId w:val="5"/>
        </w:numPr>
        <w:spacing w:line="360" w:lineRule="auto"/>
        <w:ind w:right="137"/>
      </w:pPr>
      <w:r>
        <w:t>Transport all waste to the collection center of Campus</w:t>
      </w:r>
    </w:p>
    <w:p w:rsidR="00054DC5" w:rsidRPr="00C15551" w:rsidRDefault="00054DC5" w:rsidP="00054DC5">
      <w:pPr>
        <w:pStyle w:val="BodyText"/>
        <w:numPr>
          <w:ilvl w:val="0"/>
          <w:numId w:val="5"/>
        </w:numPr>
        <w:spacing w:line="360" w:lineRule="auto"/>
        <w:ind w:right="137"/>
      </w:pPr>
      <w:r>
        <w:t>Support all recycling processing activities</w:t>
      </w:r>
    </w:p>
    <w:p w:rsidR="00054DC5" w:rsidRDefault="00054DC5" w:rsidP="00054DC5">
      <w:pPr>
        <w:pStyle w:val="BodyText"/>
        <w:spacing w:line="360" w:lineRule="auto"/>
        <w:ind w:left="380" w:right="137"/>
        <w:jc w:val="right"/>
        <w:rPr>
          <w:b/>
        </w:rPr>
      </w:pPr>
    </w:p>
    <w:p w:rsidR="00054DC5" w:rsidRPr="00054DC5" w:rsidRDefault="00054DC5" w:rsidP="00054DC5">
      <w:pPr>
        <w:pStyle w:val="BodyText"/>
        <w:numPr>
          <w:ilvl w:val="0"/>
          <w:numId w:val="3"/>
        </w:numPr>
        <w:spacing w:line="360" w:lineRule="auto"/>
        <w:ind w:right="137"/>
      </w:pPr>
      <w:r w:rsidRPr="00054DC5">
        <w:t>Resources for Waste management:</w:t>
      </w:r>
    </w:p>
    <w:p w:rsidR="006E54CE" w:rsidRDefault="009E40B7" w:rsidP="00054DC5">
      <w:pPr>
        <w:pStyle w:val="BodyText"/>
        <w:spacing w:line="360" w:lineRule="auto"/>
        <w:ind w:left="380" w:right="137"/>
      </w:pPr>
      <w:r>
        <w:t>There are 30 dust bins of different color for collection of solid waste. There is also a garbage collection center for separated waste</w:t>
      </w:r>
      <w:r w:rsidR="00FB3D4E">
        <w:t xml:space="preserve"> in the campus</w:t>
      </w:r>
      <w:r>
        <w:t xml:space="preserve">. Figure </w:t>
      </w:r>
      <w:r w:rsidR="0008109D">
        <w:t>4</w:t>
      </w:r>
      <w:r>
        <w:t xml:space="preserve"> shows </w:t>
      </w:r>
      <w:r w:rsidR="006E54CE">
        <w:t>geotagged photographs of the facilities.</w:t>
      </w:r>
    </w:p>
    <w:p w:rsidR="0008109D" w:rsidRDefault="0008109D" w:rsidP="00054DC5">
      <w:pPr>
        <w:pStyle w:val="BodyText"/>
        <w:spacing w:line="360" w:lineRule="auto"/>
        <w:ind w:left="380" w:right="137"/>
      </w:pPr>
    </w:p>
    <w:p w:rsidR="00054DC5" w:rsidRDefault="009E40B7" w:rsidP="00997E99">
      <w:pPr>
        <w:pStyle w:val="BodyText"/>
        <w:spacing w:line="360" w:lineRule="auto"/>
        <w:ind w:left="-180" w:right="-180"/>
      </w:pPr>
      <w:r>
        <w:t xml:space="preserve"> </w:t>
      </w:r>
      <w:r w:rsidR="006E54CE">
        <w:rPr>
          <w:noProof/>
        </w:rPr>
        <w:drawing>
          <wp:inline distT="0" distB="0" distL="0" distR="0">
            <wp:extent cx="2818108" cy="2112453"/>
            <wp:effectExtent l="19050" t="0" r="1292" b="0"/>
            <wp:docPr id="1" name="Picture 1" descr="C:\Users\admin\Downloads\20210205_111322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210205_111322AM.jpg"/>
                    <pic:cNvPicPr>
                      <a:picLocks noChangeAspect="1" noChangeArrowheads="1"/>
                    </pic:cNvPicPr>
                  </pic:nvPicPr>
                  <pic:blipFill>
                    <a:blip r:embed="rId8" cstate="print"/>
                    <a:srcRect/>
                    <a:stretch>
                      <a:fillRect/>
                    </a:stretch>
                  </pic:blipFill>
                  <pic:spPr bwMode="auto">
                    <a:xfrm>
                      <a:off x="0" y="0"/>
                      <a:ext cx="2820302" cy="2114098"/>
                    </a:xfrm>
                    <a:prstGeom prst="rect">
                      <a:avLst/>
                    </a:prstGeom>
                    <a:noFill/>
                    <a:ln w="9525">
                      <a:noFill/>
                      <a:miter lim="800000"/>
                      <a:headEnd/>
                      <a:tailEnd/>
                    </a:ln>
                  </pic:spPr>
                </pic:pic>
              </a:graphicData>
            </a:graphic>
          </wp:inline>
        </w:drawing>
      </w:r>
      <w:r w:rsidR="006E54CE">
        <w:rPr>
          <w:noProof/>
        </w:rPr>
        <w:drawing>
          <wp:inline distT="0" distB="0" distL="0" distR="0">
            <wp:extent cx="2876550" cy="2156262"/>
            <wp:effectExtent l="19050" t="0" r="0" b="0"/>
            <wp:docPr id="2" name="Picture 2" descr="C:\Users\admin\Downloads\20210205_105821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20210205_105821AM.jpg"/>
                    <pic:cNvPicPr>
                      <a:picLocks noChangeAspect="1" noChangeArrowheads="1"/>
                    </pic:cNvPicPr>
                  </pic:nvPicPr>
                  <pic:blipFill>
                    <a:blip r:embed="rId9" cstate="print"/>
                    <a:srcRect/>
                    <a:stretch>
                      <a:fillRect/>
                    </a:stretch>
                  </pic:blipFill>
                  <pic:spPr bwMode="auto">
                    <a:xfrm>
                      <a:off x="0" y="0"/>
                      <a:ext cx="2876577" cy="2156282"/>
                    </a:xfrm>
                    <a:prstGeom prst="rect">
                      <a:avLst/>
                    </a:prstGeom>
                    <a:noFill/>
                    <a:ln w="9525">
                      <a:noFill/>
                      <a:miter lim="800000"/>
                      <a:headEnd/>
                      <a:tailEnd/>
                    </a:ln>
                  </pic:spPr>
                </pic:pic>
              </a:graphicData>
            </a:graphic>
          </wp:inline>
        </w:drawing>
      </w:r>
    </w:p>
    <w:p w:rsidR="006E54CE" w:rsidRDefault="006E54CE" w:rsidP="00997E99">
      <w:pPr>
        <w:pStyle w:val="BodyText"/>
        <w:spacing w:line="360" w:lineRule="auto"/>
        <w:ind w:left="-90" w:right="137"/>
      </w:pPr>
      <w:r>
        <w:rPr>
          <w:noProof/>
        </w:rPr>
        <w:drawing>
          <wp:inline distT="0" distB="0" distL="0" distR="0">
            <wp:extent cx="2854778" cy="2166257"/>
            <wp:effectExtent l="19050" t="0" r="2722" b="0"/>
            <wp:docPr id="3" name="Picture 3" descr="C:\Users\admin\Downloads\20210205_105449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20210205_105449AM.jpg"/>
                    <pic:cNvPicPr>
                      <a:picLocks noChangeAspect="1" noChangeArrowheads="1"/>
                    </pic:cNvPicPr>
                  </pic:nvPicPr>
                  <pic:blipFill>
                    <a:blip r:embed="rId10" cstate="print"/>
                    <a:srcRect/>
                    <a:stretch>
                      <a:fillRect/>
                    </a:stretch>
                  </pic:blipFill>
                  <pic:spPr bwMode="auto">
                    <a:xfrm>
                      <a:off x="0" y="0"/>
                      <a:ext cx="2859533" cy="2169865"/>
                    </a:xfrm>
                    <a:prstGeom prst="rect">
                      <a:avLst/>
                    </a:prstGeom>
                    <a:noFill/>
                    <a:ln w="9525">
                      <a:noFill/>
                      <a:miter lim="800000"/>
                      <a:headEnd/>
                      <a:tailEnd/>
                    </a:ln>
                  </pic:spPr>
                </pic:pic>
              </a:graphicData>
            </a:graphic>
          </wp:inline>
        </w:drawing>
      </w:r>
      <w:r>
        <w:rPr>
          <w:noProof/>
        </w:rPr>
        <w:drawing>
          <wp:inline distT="0" distB="0" distL="0" distR="0">
            <wp:extent cx="2881736" cy="2160942"/>
            <wp:effectExtent l="19050" t="0" r="0" b="0"/>
            <wp:docPr id="4" name="Picture 4" descr="C:\Users\admin\Downloads\20210205_112123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20210205_112123AM.jpg"/>
                    <pic:cNvPicPr>
                      <a:picLocks noChangeAspect="1" noChangeArrowheads="1"/>
                    </pic:cNvPicPr>
                  </pic:nvPicPr>
                  <pic:blipFill>
                    <a:blip r:embed="rId11" cstate="print"/>
                    <a:srcRect/>
                    <a:stretch>
                      <a:fillRect/>
                    </a:stretch>
                  </pic:blipFill>
                  <pic:spPr bwMode="auto">
                    <a:xfrm>
                      <a:off x="0" y="0"/>
                      <a:ext cx="2882295" cy="2161361"/>
                    </a:xfrm>
                    <a:prstGeom prst="rect">
                      <a:avLst/>
                    </a:prstGeom>
                    <a:noFill/>
                    <a:ln w="9525">
                      <a:noFill/>
                      <a:miter lim="800000"/>
                      <a:headEnd/>
                      <a:tailEnd/>
                    </a:ln>
                  </pic:spPr>
                </pic:pic>
              </a:graphicData>
            </a:graphic>
          </wp:inline>
        </w:drawing>
      </w:r>
    </w:p>
    <w:p w:rsidR="006E54CE" w:rsidRPr="00997E99" w:rsidRDefault="0008109D" w:rsidP="00997E99">
      <w:pPr>
        <w:pStyle w:val="BodyText"/>
        <w:spacing w:line="360" w:lineRule="auto"/>
        <w:ind w:left="180" w:right="137"/>
        <w:jc w:val="center"/>
        <w:rPr>
          <w:b/>
          <w:sz w:val="20"/>
          <w:szCs w:val="20"/>
        </w:rPr>
      </w:pPr>
      <w:r w:rsidRPr="00997E99">
        <w:rPr>
          <w:b/>
          <w:sz w:val="20"/>
          <w:szCs w:val="20"/>
        </w:rPr>
        <w:t>Figure 4</w:t>
      </w:r>
      <w:r w:rsidR="006E54CE" w:rsidRPr="00997E99">
        <w:rPr>
          <w:b/>
          <w:sz w:val="20"/>
          <w:szCs w:val="20"/>
        </w:rPr>
        <w:t>: Geotagged Photographs of the Waste Management facilities in the Campus</w:t>
      </w:r>
      <w:r w:rsidR="00997E99">
        <w:rPr>
          <w:b/>
          <w:sz w:val="20"/>
          <w:szCs w:val="20"/>
        </w:rPr>
        <w:t xml:space="preserve"> of Techno India NJR Institute of Technology, Udaipur</w:t>
      </w:r>
    </w:p>
    <w:p w:rsidR="006E54CE" w:rsidRDefault="006E54CE" w:rsidP="006E54CE">
      <w:pPr>
        <w:pStyle w:val="BodyText"/>
        <w:spacing w:line="360" w:lineRule="auto"/>
        <w:ind w:left="180" w:right="137"/>
      </w:pPr>
    </w:p>
    <w:p w:rsidR="006E54CE" w:rsidRDefault="006E54CE" w:rsidP="006E54CE">
      <w:pPr>
        <w:pStyle w:val="BodyText"/>
        <w:spacing w:line="360" w:lineRule="auto"/>
        <w:ind w:left="180" w:right="137"/>
      </w:pPr>
    </w:p>
    <w:p w:rsidR="006E54CE" w:rsidRPr="000037FB" w:rsidRDefault="006E54CE" w:rsidP="006E54CE">
      <w:pPr>
        <w:pStyle w:val="BodyText"/>
        <w:spacing w:line="360" w:lineRule="auto"/>
        <w:ind w:left="180" w:right="137"/>
      </w:pPr>
    </w:p>
    <w:p w:rsidR="00054DC5" w:rsidRPr="00054DC5" w:rsidRDefault="00054DC5" w:rsidP="00054DC5">
      <w:pPr>
        <w:pStyle w:val="ListParagraph"/>
        <w:numPr>
          <w:ilvl w:val="0"/>
          <w:numId w:val="1"/>
        </w:numPr>
        <w:spacing w:line="360" w:lineRule="auto"/>
        <w:jc w:val="both"/>
      </w:pPr>
      <w:r w:rsidRPr="00435D90">
        <w:rPr>
          <w:b/>
          <w:sz w:val="24"/>
          <w:szCs w:val="24"/>
        </w:rPr>
        <w:t>Liquid Waste Manageme</w:t>
      </w:r>
      <w:r>
        <w:rPr>
          <w:b/>
          <w:sz w:val="24"/>
          <w:szCs w:val="24"/>
        </w:rPr>
        <w:t>n</w:t>
      </w:r>
      <w:r w:rsidRPr="00435D90">
        <w:rPr>
          <w:b/>
          <w:sz w:val="24"/>
          <w:szCs w:val="24"/>
        </w:rPr>
        <w:t>t</w:t>
      </w:r>
      <w:r w:rsidRPr="00435D90">
        <w:rPr>
          <w:sz w:val="24"/>
          <w:szCs w:val="24"/>
        </w:rPr>
        <w:t xml:space="preserve">: </w:t>
      </w:r>
    </w:p>
    <w:p w:rsidR="00054DC5" w:rsidRPr="003C1B16" w:rsidRDefault="00054DC5" w:rsidP="00054DC5">
      <w:pPr>
        <w:pStyle w:val="ListParagraph"/>
        <w:spacing w:line="360" w:lineRule="auto"/>
        <w:ind w:left="380" w:firstLine="0"/>
      </w:pPr>
      <w:r w:rsidRPr="00435D90">
        <w:rPr>
          <w:sz w:val="24"/>
          <w:szCs w:val="24"/>
        </w:rPr>
        <w:t xml:space="preserve">Wastewater management options and technologies can be functionally divided into </w:t>
      </w:r>
      <w:r>
        <w:rPr>
          <w:sz w:val="24"/>
          <w:szCs w:val="24"/>
        </w:rPr>
        <w:t>two segments. Firstly, septic tanks are used for sewage waste water. Secondly, wastewater from bathrooms is treated through coagulants for the separation of soap and other suspended particles, and this treated water is used for gardening.</w:t>
      </w:r>
    </w:p>
    <w:p w:rsidR="00892A7A" w:rsidRDefault="00892A7A" w:rsidP="00054DC5"/>
    <w:p w:rsidR="00127563" w:rsidRDefault="00127563" w:rsidP="00054DC5">
      <w:pPr>
        <w:pStyle w:val="ListParagraph"/>
        <w:numPr>
          <w:ilvl w:val="0"/>
          <w:numId w:val="1"/>
        </w:numPr>
        <w:jc w:val="left"/>
        <w:rPr>
          <w:b/>
          <w:sz w:val="24"/>
          <w:szCs w:val="24"/>
        </w:rPr>
      </w:pPr>
      <w:r>
        <w:rPr>
          <w:b/>
          <w:sz w:val="24"/>
          <w:szCs w:val="24"/>
        </w:rPr>
        <w:t xml:space="preserve">Biomedical and Radioactive Waste Management: </w:t>
      </w:r>
    </w:p>
    <w:p w:rsidR="00127563" w:rsidRDefault="00127563" w:rsidP="00127563">
      <w:pPr>
        <w:ind w:left="140"/>
        <w:rPr>
          <w:sz w:val="24"/>
          <w:szCs w:val="24"/>
        </w:rPr>
      </w:pPr>
    </w:p>
    <w:p w:rsidR="00054DC5" w:rsidRPr="00127563" w:rsidRDefault="00127563" w:rsidP="00127563">
      <w:pPr>
        <w:ind w:left="140"/>
        <w:rPr>
          <w:b/>
          <w:sz w:val="24"/>
          <w:szCs w:val="24"/>
        </w:rPr>
      </w:pPr>
      <w:r w:rsidRPr="00127563">
        <w:rPr>
          <w:sz w:val="24"/>
          <w:szCs w:val="24"/>
        </w:rPr>
        <w:t>There is no biomedical and radioactive waste generated in the campus.</w:t>
      </w:r>
    </w:p>
    <w:p w:rsidR="00127563" w:rsidRDefault="00127563" w:rsidP="00127563">
      <w:pPr>
        <w:rPr>
          <w:b/>
          <w:sz w:val="24"/>
          <w:szCs w:val="24"/>
        </w:rPr>
      </w:pPr>
    </w:p>
    <w:p w:rsidR="000B6D09" w:rsidRDefault="00BC4A49" w:rsidP="00127563">
      <w:pPr>
        <w:pStyle w:val="ListParagraph"/>
        <w:numPr>
          <w:ilvl w:val="0"/>
          <w:numId w:val="1"/>
        </w:numPr>
        <w:jc w:val="left"/>
        <w:rPr>
          <w:b/>
          <w:sz w:val="24"/>
          <w:szCs w:val="24"/>
        </w:rPr>
      </w:pPr>
      <w:r>
        <w:rPr>
          <w:b/>
          <w:sz w:val="24"/>
          <w:szCs w:val="24"/>
        </w:rPr>
        <w:t>Hazardous C</w:t>
      </w:r>
      <w:r w:rsidR="000B6D09">
        <w:rPr>
          <w:b/>
          <w:sz w:val="24"/>
          <w:szCs w:val="24"/>
        </w:rPr>
        <w:t>hemicals Waste Management:</w:t>
      </w:r>
    </w:p>
    <w:p w:rsidR="000B6D09" w:rsidRDefault="000B6D09" w:rsidP="000B6D09">
      <w:pPr>
        <w:pStyle w:val="ListParagraph"/>
        <w:ind w:left="380" w:firstLine="0"/>
        <w:jc w:val="right"/>
        <w:rPr>
          <w:b/>
          <w:sz w:val="24"/>
          <w:szCs w:val="24"/>
        </w:rPr>
      </w:pPr>
    </w:p>
    <w:p w:rsidR="00127563" w:rsidRPr="000B6D09" w:rsidRDefault="000B6D09" w:rsidP="000B6D09">
      <w:pPr>
        <w:pStyle w:val="ListParagraph"/>
        <w:ind w:left="380" w:firstLine="0"/>
        <w:rPr>
          <w:sz w:val="24"/>
          <w:szCs w:val="24"/>
        </w:rPr>
      </w:pPr>
      <w:r>
        <w:rPr>
          <w:sz w:val="24"/>
          <w:szCs w:val="24"/>
        </w:rPr>
        <w:t xml:space="preserve">There are separate red colored bins and room (shown in figure 4) for sanitary and hazardous waste. </w:t>
      </w:r>
      <w:r w:rsidR="00951D1C">
        <w:rPr>
          <w:sz w:val="24"/>
          <w:szCs w:val="24"/>
        </w:rPr>
        <w:t xml:space="preserve">These </w:t>
      </w:r>
      <w:r w:rsidR="009D5B6C">
        <w:rPr>
          <w:sz w:val="24"/>
          <w:szCs w:val="24"/>
        </w:rPr>
        <w:t>types</w:t>
      </w:r>
      <w:r w:rsidR="00951D1C">
        <w:rPr>
          <w:sz w:val="24"/>
          <w:szCs w:val="24"/>
        </w:rPr>
        <w:t xml:space="preserve"> of wastes are disposed on Municipality landfill site outside city. </w:t>
      </w:r>
    </w:p>
    <w:p w:rsidR="00054DC5" w:rsidRDefault="00054DC5" w:rsidP="00054DC5"/>
    <w:sectPr w:rsidR="00054DC5" w:rsidSect="00997E99">
      <w:pgSz w:w="12240" w:h="15840"/>
      <w:pgMar w:top="72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9B0"/>
    <w:multiLevelType w:val="hybridMultilevel"/>
    <w:tmpl w:val="D94493DC"/>
    <w:lvl w:ilvl="0" w:tplc="D11CCD92">
      <w:start w:val="2"/>
      <w:numFmt w:val="decimal"/>
      <w:lvlText w:val="%1."/>
      <w:lvlJc w:val="left"/>
      <w:pPr>
        <w:ind w:left="380" w:hanging="240"/>
        <w:jc w:val="right"/>
      </w:pPr>
      <w:rPr>
        <w:rFonts w:ascii="Times New Roman" w:eastAsia="Times New Roman" w:hAnsi="Times New Roman" w:cs="Times New Roman" w:hint="default"/>
        <w:b/>
        <w:bCs/>
        <w:w w:val="100"/>
        <w:sz w:val="24"/>
        <w:szCs w:val="24"/>
      </w:rPr>
    </w:lvl>
    <w:lvl w:ilvl="1" w:tplc="1870F3D6">
      <w:numFmt w:val="bullet"/>
      <w:lvlText w:val=""/>
      <w:lvlJc w:val="left"/>
      <w:pPr>
        <w:ind w:left="860" w:hanging="360"/>
      </w:pPr>
      <w:rPr>
        <w:rFonts w:ascii="Wingdings" w:eastAsia="Wingdings" w:hAnsi="Wingdings" w:cs="Wingdings" w:hint="default"/>
        <w:w w:val="100"/>
        <w:sz w:val="24"/>
        <w:szCs w:val="24"/>
      </w:rPr>
    </w:lvl>
    <w:lvl w:ilvl="2" w:tplc="1708EA1E">
      <w:numFmt w:val="bullet"/>
      <w:lvlText w:val="•"/>
      <w:lvlJc w:val="left"/>
      <w:pPr>
        <w:ind w:left="1798" w:hanging="360"/>
      </w:pPr>
      <w:rPr>
        <w:rFonts w:hint="default"/>
      </w:rPr>
    </w:lvl>
    <w:lvl w:ilvl="3" w:tplc="137A958C">
      <w:numFmt w:val="bullet"/>
      <w:lvlText w:val="•"/>
      <w:lvlJc w:val="left"/>
      <w:pPr>
        <w:ind w:left="2736" w:hanging="360"/>
      </w:pPr>
      <w:rPr>
        <w:rFonts w:hint="default"/>
      </w:rPr>
    </w:lvl>
    <w:lvl w:ilvl="4" w:tplc="A274A5B6">
      <w:numFmt w:val="bullet"/>
      <w:lvlText w:val="•"/>
      <w:lvlJc w:val="left"/>
      <w:pPr>
        <w:ind w:left="3675" w:hanging="360"/>
      </w:pPr>
      <w:rPr>
        <w:rFonts w:hint="default"/>
      </w:rPr>
    </w:lvl>
    <w:lvl w:ilvl="5" w:tplc="C5749DE8">
      <w:numFmt w:val="bullet"/>
      <w:lvlText w:val="•"/>
      <w:lvlJc w:val="left"/>
      <w:pPr>
        <w:ind w:left="4613" w:hanging="360"/>
      </w:pPr>
      <w:rPr>
        <w:rFonts w:hint="default"/>
      </w:rPr>
    </w:lvl>
    <w:lvl w:ilvl="6" w:tplc="4DF8B12C">
      <w:numFmt w:val="bullet"/>
      <w:lvlText w:val="•"/>
      <w:lvlJc w:val="left"/>
      <w:pPr>
        <w:ind w:left="5552" w:hanging="360"/>
      </w:pPr>
      <w:rPr>
        <w:rFonts w:hint="default"/>
      </w:rPr>
    </w:lvl>
    <w:lvl w:ilvl="7" w:tplc="9C1209DC">
      <w:numFmt w:val="bullet"/>
      <w:lvlText w:val="•"/>
      <w:lvlJc w:val="left"/>
      <w:pPr>
        <w:ind w:left="6490" w:hanging="360"/>
      </w:pPr>
      <w:rPr>
        <w:rFonts w:hint="default"/>
      </w:rPr>
    </w:lvl>
    <w:lvl w:ilvl="8" w:tplc="A648CAFE">
      <w:numFmt w:val="bullet"/>
      <w:lvlText w:val="•"/>
      <w:lvlJc w:val="left"/>
      <w:pPr>
        <w:ind w:left="7429" w:hanging="360"/>
      </w:pPr>
      <w:rPr>
        <w:rFonts w:hint="default"/>
      </w:rPr>
    </w:lvl>
  </w:abstractNum>
  <w:abstractNum w:abstractNumId="1">
    <w:nsid w:val="17F95240"/>
    <w:multiLevelType w:val="hybridMultilevel"/>
    <w:tmpl w:val="3B185C84"/>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nsid w:val="32C160FE"/>
    <w:multiLevelType w:val="hybridMultilevel"/>
    <w:tmpl w:val="46AEF21E"/>
    <w:lvl w:ilvl="0" w:tplc="0409000B">
      <w:start w:val="1"/>
      <w:numFmt w:val="bullet"/>
      <w:lvlText w:val=""/>
      <w:lvlJc w:val="left"/>
      <w:pPr>
        <w:ind w:left="914" w:hanging="360"/>
      </w:pPr>
      <w:rPr>
        <w:rFonts w:ascii="Wingdings" w:hAnsi="Wingdings"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3">
    <w:nsid w:val="518700C2"/>
    <w:multiLevelType w:val="hybridMultilevel"/>
    <w:tmpl w:val="8DD6E56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nsid w:val="52F96AD3"/>
    <w:multiLevelType w:val="hybridMultilevel"/>
    <w:tmpl w:val="BC42E8C8"/>
    <w:lvl w:ilvl="0" w:tplc="912CB772">
      <w:start w:val="1"/>
      <w:numFmt w:val="lowerRoman"/>
      <w:lvlText w:val="%1)."/>
      <w:lvlJc w:val="left"/>
      <w:pPr>
        <w:ind w:left="1634" w:hanging="360"/>
      </w:pPr>
      <w:rPr>
        <w:rFonts w:hint="default"/>
        <w:i/>
        <w:spacing w:val="-3"/>
        <w:w w:val="100"/>
      </w:r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5">
    <w:nsid w:val="552A7DCD"/>
    <w:multiLevelType w:val="hybridMultilevel"/>
    <w:tmpl w:val="F3049B9A"/>
    <w:lvl w:ilvl="0" w:tplc="0409000B">
      <w:start w:val="1"/>
      <w:numFmt w:val="bullet"/>
      <w:lvlText w:val=""/>
      <w:lvlJc w:val="left"/>
      <w:pPr>
        <w:ind w:left="1580" w:hanging="360"/>
      </w:pPr>
      <w:rPr>
        <w:rFonts w:ascii="Wingdings" w:hAnsi="Wingding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nsid w:val="579D5E43"/>
    <w:multiLevelType w:val="hybridMultilevel"/>
    <w:tmpl w:val="94C49B2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54DC5"/>
    <w:rsid w:val="00054DC5"/>
    <w:rsid w:val="0006568E"/>
    <w:rsid w:val="0008109D"/>
    <w:rsid w:val="000B6D09"/>
    <w:rsid w:val="000C2F94"/>
    <w:rsid w:val="00127563"/>
    <w:rsid w:val="001A1C12"/>
    <w:rsid w:val="003563FA"/>
    <w:rsid w:val="00480AC4"/>
    <w:rsid w:val="0050521D"/>
    <w:rsid w:val="006E54CE"/>
    <w:rsid w:val="00794A2D"/>
    <w:rsid w:val="00892A7A"/>
    <w:rsid w:val="009346F4"/>
    <w:rsid w:val="00951D1C"/>
    <w:rsid w:val="00997E99"/>
    <w:rsid w:val="009D5B6C"/>
    <w:rsid w:val="009E40B7"/>
    <w:rsid w:val="00A67258"/>
    <w:rsid w:val="00A91C28"/>
    <w:rsid w:val="00BC4A49"/>
    <w:rsid w:val="00FB3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3"/>
        <o:r id="V:Rule12" type="connector" idref="#_x0000_s1035"/>
        <o:r id="V:Rule13" type="connector" idref="#_x0000_s1047"/>
        <o:r id="V:Rule14" type="connector" idref="#_x0000_s1040"/>
        <o:r id="V:Rule15" type="connector" idref="#_x0000_s1045"/>
        <o:r id="V:Rule16" type="connector" idref="#_x0000_s1041"/>
        <o:r id="V:Rule17" type="connector" idref="#_x0000_s1036"/>
        <o:r id="V:Rule18" type="connector" idref="#_x0000_s1037"/>
        <o:r id="V:Rule19" type="connector" idref="#_x0000_s1034"/>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4DC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54DC5"/>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4DC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54DC5"/>
    <w:pPr>
      <w:ind w:left="860"/>
    </w:pPr>
    <w:rPr>
      <w:sz w:val="24"/>
      <w:szCs w:val="24"/>
    </w:rPr>
  </w:style>
  <w:style w:type="character" w:customStyle="1" w:styleId="BodyTextChar">
    <w:name w:val="Body Text Char"/>
    <w:basedOn w:val="DefaultParagraphFont"/>
    <w:link w:val="BodyText"/>
    <w:uiPriority w:val="1"/>
    <w:rsid w:val="00054DC5"/>
    <w:rPr>
      <w:rFonts w:ascii="Times New Roman" w:eastAsia="Times New Roman" w:hAnsi="Times New Roman" w:cs="Times New Roman"/>
      <w:sz w:val="24"/>
      <w:szCs w:val="24"/>
    </w:rPr>
  </w:style>
  <w:style w:type="paragraph" w:styleId="ListParagraph">
    <w:name w:val="List Paragraph"/>
    <w:basedOn w:val="Normal"/>
    <w:uiPriority w:val="34"/>
    <w:qFormat/>
    <w:rsid w:val="00054DC5"/>
    <w:pPr>
      <w:ind w:left="860" w:hanging="360"/>
    </w:pPr>
  </w:style>
  <w:style w:type="paragraph" w:styleId="BalloonText">
    <w:name w:val="Balloon Text"/>
    <w:basedOn w:val="Normal"/>
    <w:link w:val="BalloonTextChar"/>
    <w:uiPriority w:val="99"/>
    <w:semiHidden/>
    <w:unhideWhenUsed/>
    <w:rsid w:val="00054DC5"/>
    <w:rPr>
      <w:rFonts w:ascii="Tahoma" w:hAnsi="Tahoma" w:cs="Tahoma"/>
      <w:sz w:val="16"/>
      <w:szCs w:val="16"/>
    </w:rPr>
  </w:style>
  <w:style w:type="character" w:customStyle="1" w:styleId="BalloonTextChar">
    <w:name w:val="Balloon Text Char"/>
    <w:basedOn w:val="DefaultParagraphFont"/>
    <w:link w:val="BalloonText"/>
    <w:uiPriority w:val="99"/>
    <w:semiHidden/>
    <w:rsid w:val="00054DC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MOE16</b:Tag>
    <b:SourceType>DocumentFromInternetSite</b:SourceType>
    <b:Guid>{557AC63C-F364-4A49-A4A9-5AF4B7179859}</b:Guid>
    <b:LCID>16393</b:LCID>
    <b:Title>MOEF, S.O. 1357(E) </b:Title>
    <b:Year>2016</b:Year>
    <b:InternetSiteTitle>Solid Waste Management Rules</b:InternetSiteTitle>
    <b:Month>April</b:Month>
    <b:Day>08</b:Day>
    <b:YearAccessed>2018</b:YearAccessed>
    <b:MonthAccessed>December</b:MonthAccessed>
    <b:DayAccessed>20</b:DayAccessed>
    <b:URL>http://www.moef.nic.in/contents/so-1357e-08-04-2016-solid-waste-management-rules-2016/</b:URL>
    <b:RefOrder>2</b:RefOrder>
  </b:Source>
  <b:Source>
    <b:Tag>Als08</b:Tag>
    <b:SourceType>JournalArticle</b:SourceType>
    <b:Guid>{C785E746-8375-4DF5-9A0D-258C7FC69302}</b:Guid>
    <b:LCID>0</b:LCID>
    <b:Author>
      <b:Author>
        <b:NameList>
          <b:Person>
            <b:Last>Alshuwaikhat</b:Last>
            <b:First>H.M.</b:First>
          </b:Person>
          <b:Person>
            <b:Last>Abubakar</b:Last>
            <b:First>I.</b:First>
          </b:Person>
        </b:NameList>
      </b:Author>
    </b:Author>
    <b:Title>An integrated approach to achieving campus sustainability: Assessment of the current campus environmental management practices</b:Title>
    <b:Year>2008</b:Year>
    <b:Volume>16</b:Volume>
    <b:JournalName>J. Clean. Prod.</b:JournalName>
    <b:Pages>1777–1785</b:Pages>
    <b:RefOrder>3</b:RefOrder>
  </b:Source>
  <b:Source>
    <b:Tag>Als081</b:Tag>
    <b:SourceType>JournalArticle</b:SourceType>
    <b:Guid>{093CD506-E140-48D1-97E7-03DB5A3085F2}</b:Guid>
    <b:LCID>1033</b:LCID>
    <b:Author>
      <b:Author>
        <b:NameList>
          <b:Person>
            <b:Last>Alshuwaikhat</b:Last>
            <b:First>H.M.</b:First>
          </b:Person>
          <b:Person>
            <b:Last>Abubaka</b:Last>
          </b:Person>
        </b:NameList>
      </b:Author>
    </b:Author>
    <b:Title>An Integrated approach to achieving campus sustainability: Assessment of the current campus environmental management practices</b:Title>
    <b:Year>2008</b:Year>
    <b:Publisher>J. Clean. Prod.</b:Publisher>
    <b:RefOrder>4</b:RefOrder>
  </b:Source>
  <b:Source>
    <b:Tag>Geo93</b:Tag>
    <b:SourceType>Book</b:SourceType>
    <b:Guid>{8A6FE449-EDF0-4A0E-9BEF-A16662103B48}</b:Guid>
    <b:LCID>1033</b:LCID>
    <b:Author>
      <b:Author>
        <b:NameList>
          <b:Person>
            <b:Last>George Tchobanoglous</b:Last>
            <b:First>Hilary</b:First>
            <b:Middle>Theisen, Samuel A. Vigil</b:Middle>
          </b:Person>
        </b:NameList>
      </b:Author>
    </b:Author>
    <b:Title>Integrated Solid Waste Management</b:Title>
    <b:Year>1993</b:Year>
    <b:Publisher>Mc Graw Hill</b:Publisher>
    <b:StandardNumber>0-07-112865-4</b:StandardNumber>
    <b:RefOrder>5</b:RefOrder>
  </b:Source>
  <b:Source>
    <b:Tag>Mwa19</b:Tag>
    <b:SourceType>JournalArticle</b:SourceType>
    <b:Guid>{4AE816CA-DAB3-479A-B514-38DF74109C05}</b:Guid>
    <b:LCID>1033</b:LCID>
    <b:Author>
      <b:Author>
        <b:NameList>
          <b:Person>
            <b:Last>Mwangi</b:Last>
            <b:First>M.,</b:First>
            <b:Middle>Thuo, A.</b:Middle>
          </b:Person>
        </b:NameList>
      </b:Author>
    </b:Author>
    <b:Title>Towards conceptual and theoretical foundation for identifying problems, challenges and mechanisms for municipal waste management in developing countries</b:Title>
    <b:Year>2019</b:Year>
    <b:Publisher>Int. J. Innov.Sci.Res.</b:Publisher>
    <b:RefOrder>6</b:RefOrder>
  </b:Source>
  <b:Source>
    <b:Tag>Kam89</b:Tag>
    <b:SourceType>Book</b:SourceType>
    <b:Guid>{D5716210-0B38-48AB-9703-D012B61F427C}</b:Guid>
    <b:LCID>0</b:LCID>
    <b:Author>
      <b:Author>
        <b:NameList>
          <b:Person>
            <b:Last>Kamala</b:Last>
            <b:First>A.</b:First>
            <b:Middle>and Kanth Rao, D.L.</b:Middle>
          </b:Person>
        </b:NameList>
      </b:Author>
    </b:Author>
    <b:Title>Environmental Engineering</b:Title>
    <b:Year>1989</b:Year>
    <b:Publisher>Tata MacGraw-Hill</b:Publisher>
    <b:StandardNumber>121-218</b:StandardNumber>
    <b:RefOrder>7</b:RefOrder>
  </b:Source>
  <b:Source>
    <b:Tag>Ker04</b:Tag>
    <b:SourceType>JournalArticle</b:SourceType>
    <b:Guid>{85088FAA-2B7F-4B5F-ACFF-5DCA16C80AB8}</b:Guid>
    <b:LCID>0</b:LCID>
    <b:Author>
      <b:Author>
        <b:NameList>
          <b:Person>
            <b:Last>Keraita B. N. and Dreschsel</b:Last>
            <b:First>P</b:First>
          </b:Person>
        </b:NameList>
      </b:Author>
    </b:Author>
    <b:Title>Agricultural Use of Untreated Wastewater in Ghana</b:Title>
    <b:Year>2004</b:Year>
    <b:Publisher>International Research Development Center Publication</b:Publisher>
    <b:RefOrder>8</b:RefOrder>
  </b:Source>
</b:Sources>
</file>

<file path=customXml/itemProps1.xml><?xml version="1.0" encoding="utf-8"?>
<ds:datastoreItem xmlns:ds="http://schemas.openxmlformats.org/officeDocument/2006/customXml" ds:itemID="{3727496D-E649-49B8-96D1-25BD0B2A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2021-02-03T05:57:00Z</dcterms:created>
  <dcterms:modified xsi:type="dcterms:W3CDTF">2021-02-06T10:21:00Z</dcterms:modified>
</cp:coreProperties>
</file>